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97" w:rsidRPr="002D5621" w:rsidRDefault="00555597" w:rsidP="00555597">
      <w:pPr>
        <w:bidi/>
        <w:ind w:left="-1774"/>
        <w:rPr>
          <w:noProof/>
          <w:color w:val="000000" w:themeColor="text1"/>
          <w:sz w:val="20"/>
        </w:rPr>
      </w:pPr>
      <w:r w:rsidRPr="002D5621">
        <w:rPr>
          <w:rFonts w:hint="cs"/>
          <w:noProof/>
          <w:color w:val="000000" w:themeColor="text1"/>
          <w:sz w:val="20"/>
          <w:rtl/>
        </w:rPr>
        <w:drawing>
          <wp:inline distT="0" distB="0" distL="0" distR="0" wp14:anchorId="35E7E101" wp14:editId="1BAFBCE8">
            <wp:extent cx="7646494" cy="3474640"/>
            <wp:effectExtent l="0" t="0" r="0" b="0"/>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מבזק לשכה דפוס.jpg"/>
                    <pic:cNvPicPr/>
                  </pic:nvPicPr>
                  <pic:blipFill>
                    <a:blip r:embed="rId7">
                      <a:extLst>
                        <a:ext uri="{28A0092B-C50C-407E-A947-70E740481C1C}">
                          <a14:useLocalDpi xmlns:a14="http://schemas.microsoft.com/office/drawing/2010/main" val="0"/>
                        </a:ext>
                      </a:extLst>
                    </a:blip>
                    <a:stretch>
                      <a:fillRect/>
                    </a:stretch>
                  </pic:blipFill>
                  <pic:spPr>
                    <a:xfrm>
                      <a:off x="0" y="0"/>
                      <a:ext cx="7655693" cy="3478820"/>
                    </a:xfrm>
                    <a:prstGeom prst="rect">
                      <a:avLst/>
                    </a:prstGeom>
                  </pic:spPr>
                </pic:pic>
              </a:graphicData>
            </a:graphic>
          </wp:inline>
        </w:drawing>
      </w:r>
    </w:p>
    <w:p w:rsidR="00555597" w:rsidRPr="002D5621" w:rsidRDefault="00555597" w:rsidP="00555597">
      <w:pPr>
        <w:bidi/>
        <w:jc w:val="center"/>
        <w:rPr>
          <w:b/>
          <w:bCs/>
          <w:color w:val="000000" w:themeColor="text1"/>
          <w:sz w:val="28"/>
          <w:szCs w:val="28"/>
        </w:rPr>
      </w:pPr>
      <w:r w:rsidRPr="002D5621">
        <w:rPr>
          <w:rFonts w:hint="cs"/>
          <w:b/>
          <w:bCs/>
          <w:color w:val="000000" w:themeColor="text1"/>
          <w:sz w:val="28"/>
          <w:szCs w:val="28"/>
          <w:rtl/>
        </w:rPr>
        <w:t>לשכת יועצי מס בישראל</w:t>
      </w:r>
    </w:p>
    <w:p w:rsidR="00555597" w:rsidRPr="002D5621" w:rsidRDefault="00555597" w:rsidP="00555597">
      <w:pPr>
        <w:bidi/>
        <w:jc w:val="center"/>
        <w:rPr>
          <w:rFonts w:cs="FrankRuehl"/>
          <w:color w:val="000000" w:themeColor="text1"/>
          <w:rtl/>
        </w:rPr>
      </w:pPr>
      <w:r w:rsidRPr="002D5621">
        <w:rPr>
          <w:rFonts w:ascii="Tunga" w:hAnsi="Tunga" w:cs="FrankRuehl"/>
          <w:noProof/>
          <w:color w:val="000000" w:themeColor="text1"/>
          <w:sz w:val="20"/>
          <w:szCs w:val="20"/>
          <w:rtl/>
        </w:rPr>
        <mc:AlternateContent>
          <mc:Choice Requires="wps">
            <w:drawing>
              <wp:anchor distT="0" distB="0" distL="114300" distR="114300" simplePos="0" relativeHeight="251659264" behindDoc="0" locked="0" layoutInCell="1" allowOverlap="1" wp14:anchorId="3FEEC615" wp14:editId="4631D724">
                <wp:simplePos x="0" y="0"/>
                <wp:positionH relativeFrom="column">
                  <wp:posOffset>0</wp:posOffset>
                </wp:positionH>
                <wp:positionV relativeFrom="paragraph">
                  <wp:posOffset>88900</wp:posOffset>
                </wp:positionV>
                <wp:extent cx="5715000" cy="0"/>
                <wp:effectExtent l="9525" t="11430" r="9525" b="7620"/>
                <wp:wrapNone/>
                <wp:docPr id="21" name="מחבר ישר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C14F1" id="מחבר ישר 21"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"/>
            </w:pict>
          </mc:Fallback>
        </mc:AlternateContent>
      </w:r>
    </w:p>
    <w:p w:rsidR="00555597" w:rsidRPr="002D5621" w:rsidRDefault="00555597" w:rsidP="00555597">
      <w:pPr>
        <w:bidi/>
        <w:jc w:val="center"/>
        <w:rPr>
          <w:color w:val="000000" w:themeColor="text1"/>
          <w:rtl/>
        </w:rPr>
      </w:pPr>
      <w:r w:rsidRPr="002D5621">
        <w:rPr>
          <w:rFonts w:hint="cs"/>
          <w:b/>
          <w:bCs/>
          <w:color w:val="000000" w:themeColor="text1"/>
          <w:rtl/>
        </w:rPr>
        <w:t xml:space="preserve">רחוב גולדברג 4, תל אביב </w:t>
      </w:r>
      <w:r w:rsidRPr="002D5621">
        <w:rPr>
          <w:rFonts w:hint="cs"/>
          <w:color w:val="000000" w:themeColor="text1"/>
          <w:rtl/>
        </w:rPr>
        <w:t xml:space="preserve"> </w:t>
      </w:r>
      <w:r w:rsidRPr="002D5621">
        <w:rPr>
          <w:rFonts w:hint="cs"/>
          <w:b/>
          <w:bCs/>
          <w:color w:val="000000" w:themeColor="text1"/>
          <w:rtl/>
        </w:rPr>
        <w:t>טל</w:t>
      </w:r>
      <w:r w:rsidRPr="002D5621">
        <w:rPr>
          <w:rFonts w:hint="cs"/>
          <w:color w:val="000000" w:themeColor="text1"/>
          <w:rtl/>
        </w:rPr>
        <w:t>. 09-7733770</w:t>
      </w:r>
      <w:r w:rsidRPr="002D5621">
        <w:rPr>
          <w:color w:val="000000" w:themeColor="text1"/>
        </w:rPr>
        <w:t xml:space="preserve"> </w:t>
      </w:r>
      <w:r w:rsidRPr="002D5621">
        <w:rPr>
          <w:rFonts w:hint="cs"/>
          <w:color w:val="000000" w:themeColor="text1"/>
          <w:rtl/>
        </w:rPr>
        <w:t xml:space="preserve"> </w:t>
      </w:r>
      <w:r w:rsidRPr="002D5621">
        <w:rPr>
          <w:rFonts w:hint="cs"/>
          <w:b/>
          <w:bCs/>
          <w:color w:val="000000" w:themeColor="text1"/>
          <w:rtl/>
        </w:rPr>
        <w:t>פקס</w:t>
      </w:r>
      <w:r w:rsidRPr="002D5621">
        <w:rPr>
          <w:rFonts w:hint="cs"/>
          <w:color w:val="000000" w:themeColor="text1"/>
          <w:rtl/>
        </w:rPr>
        <w:t>. 09-7733771</w:t>
      </w:r>
    </w:p>
    <w:p w:rsidR="00555597" w:rsidRPr="002D5621" w:rsidRDefault="00360EF8" w:rsidP="00555597">
      <w:pPr>
        <w:jc w:val="center"/>
        <w:rPr>
          <w:noProof/>
          <w:color w:val="000000" w:themeColor="text1"/>
          <w:sz w:val="20"/>
          <w:rtl/>
        </w:rPr>
      </w:pPr>
      <w:hyperlink r:id="rId8" w:history="1">
        <w:r w:rsidR="00555597" w:rsidRPr="002D5621">
          <w:rPr>
            <w:rStyle w:val="Hyperlink"/>
            <w:noProof/>
            <w:color w:val="000000" w:themeColor="text1"/>
            <w:sz w:val="20"/>
          </w:rPr>
          <w:t>tax@nomas.co.il</w:t>
        </w:r>
      </w:hyperlink>
      <w:r w:rsidR="00555597" w:rsidRPr="002D5621">
        <w:rPr>
          <w:noProof/>
          <w:color w:val="000000" w:themeColor="text1"/>
          <w:sz w:val="20"/>
        </w:rPr>
        <w:t xml:space="preserve"> </w:t>
      </w:r>
      <w:r w:rsidR="00555597" w:rsidRPr="002D5621">
        <w:rPr>
          <w:rFonts w:hint="cs"/>
          <w:noProof/>
          <w:color w:val="000000" w:themeColor="text1"/>
          <w:sz w:val="20"/>
          <w:rtl/>
        </w:rPr>
        <w:t>לתגובות:</w:t>
      </w:r>
    </w:p>
    <w:p w:rsidR="00555597" w:rsidRPr="002D5621" w:rsidRDefault="00555597" w:rsidP="00555597">
      <w:pPr>
        <w:bidi/>
        <w:jc w:val="center"/>
        <w:rPr>
          <w:noProof/>
          <w:color w:val="000000" w:themeColor="text1"/>
          <w:sz w:val="20"/>
          <w:rtl/>
        </w:rPr>
      </w:pPr>
      <w:r w:rsidRPr="002D5621">
        <w:rPr>
          <w:noProof/>
          <w:color w:val="000000" w:themeColor="text1"/>
          <w:sz w:val="20"/>
          <w:rtl/>
        </w:rPr>
        <mc:AlternateContent>
          <mc:Choice Requires="wps">
            <w:drawing>
              <wp:anchor distT="0" distB="0" distL="114300" distR="114300" simplePos="0" relativeHeight="251676160" behindDoc="0" locked="0" layoutInCell="1" allowOverlap="1" wp14:anchorId="01174CCF" wp14:editId="75EA54AC">
                <wp:simplePos x="0" y="0"/>
                <wp:positionH relativeFrom="column">
                  <wp:posOffset>0</wp:posOffset>
                </wp:positionH>
                <wp:positionV relativeFrom="paragraph">
                  <wp:posOffset>85725</wp:posOffset>
                </wp:positionV>
                <wp:extent cx="5715000" cy="0"/>
                <wp:effectExtent l="38100" t="43180" r="38100" b="42545"/>
                <wp:wrapNone/>
                <wp:docPr id="19" name="מחבר ישר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AE776" id="מחבר ישר 19"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450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" strokeweight="6pt">
                <v:stroke linestyle="thickBetweenThin"/>
              </v:line>
            </w:pict>
          </mc:Fallback>
        </mc:AlternateContent>
      </w:r>
    </w:p>
    <w:p w:rsidR="00555597" w:rsidRPr="002D5621" w:rsidRDefault="00555597" w:rsidP="00555597">
      <w:pPr>
        <w:bidi/>
        <w:rPr>
          <w:color w:val="000000" w:themeColor="text1"/>
          <w:rtl/>
        </w:rPr>
      </w:pPr>
    </w:p>
    <w:p w:rsidR="00555597" w:rsidRPr="002D5621" w:rsidRDefault="00AC1126" w:rsidP="00555597">
      <w:pPr>
        <w:bidi/>
        <w:rPr>
          <w:color w:val="000000" w:themeColor="text1"/>
          <w:rtl/>
        </w:rPr>
      </w:pPr>
      <w:r w:rsidRPr="002D5621">
        <w:rPr>
          <w:noProof/>
          <w:color w:val="000000" w:themeColor="text1"/>
          <w:sz w:val="20"/>
          <w:rtl/>
        </w:rPr>
        <mc:AlternateContent>
          <mc:Choice Requires="wps">
            <w:drawing>
              <wp:anchor distT="0" distB="0" distL="114300" distR="114300" simplePos="0" relativeHeight="251639296" behindDoc="0" locked="0" layoutInCell="1" allowOverlap="1" wp14:anchorId="39BF4285" wp14:editId="7967CD3E">
                <wp:simplePos x="0" y="0"/>
                <wp:positionH relativeFrom="column">
                  <wp:posOffset>466725</wp:posOffset>
                </wp:positionH>
                <wp:positionV relativeFrom="paragraph">
                  <wp:posOffset>6985</wp:posOffset>
                </wp:positionV>
                <wp:extent cx="4000500" cy="952500"/>
                <wp:effectExtent l="0" t="2540" r="0" b="0"/>
                <wp:wrapNone/>
                <wp:docPr id="20" name="תיבת טקסט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597" w:rsidRPr="007B786D" w:rsidRDefault="007B786D" w:rsidP="00555597">
                            <w:pPr>
                              <w:bidi/>
                              <w:jc w:val="center"/>
                              <w:rPr>
                                <w:b/>
                                <w:bCs/>
                                <w:rtl/>
                              </w:rPr>
                            </w:pPr>
                            <w:r w:rsidRPr="007B786D">
                              <w:rPr>
                                <w:rFonts w:hint="cs"/>
                                <w:b/>
                                <w:bCs/>
                                <w:rtl/>
                              </w:rPr>
                              <w:t xml:space="preserve">עורך מקצועי: </w:t>
                            </w:r>
                          </w:p>
                          <w:p w:rsidR="007B786D" w:rsidRPr="007B786D" w:rsidRDefault="007B786D" w:rsidP="007B786D">
                            <w:pPr>
                              <w:bidi/>
                              <w:jc w:val="center"/>
                              <w:rPr>
                                <w:b/>
                                <w:bCs/>
                                <w:rtl/>
                              </w:rPr>
                            </w:pPr>
                            <w:r w:rsidRPr="007B786D">
                              <w:rPr>
                                <w:rFonts w:hint="cs"/>
                                <w:b/>
                                <w:bCs/>
                                <w:rtl/>
                              </w:rPr>
                              <w:t>שחר אלוני</w:t>
                            </w:r>
                          </w:p>
                          <w:p w:rsidR="007B786D" w:rsidRPr="007B786D" w:rsidRDefault="007B786D" w:rsidP="007B786D">
                            <w:pPr>
                              <w:bidi/>
                              <w:jc w:val="center"/>
                              <w:rPr>
                                <w:b/>
                                <w:bCs/>
                                <w:rtl/>
                              </w:rPr>
                            </w:pPr>
                            <w:r w:rsidRPr="007B786D">
                              <w:rPr>
                                <w:rFonts w:hint="cs"/>
                                <w:b/>
                                <w:bCs/>
                                <w:rtl/>
                              </w:rPr>
                              <w:t>יו"ר מרחב תל אביב</w:t>
                            </w:r>
                          </w:p>
                          <w:p w:rsidR="007B786D" w:rsidRPr="007B786D" w:rsidRDefault="007B786D" w:rsidP="007B786D">
                            <w:pPr>
                              <w:bidi/>
                              <w:jc w:val="center"/>
                              <w:rPr>
                                <w:b/>
                                <w:bCs/>
                                <w:rtl/>
                              </w:rPr>
                            </w:pPr>
                            <w:r w:rsidRPr="007B786D">
                              <w:rPr>
                                <w:rFonts w:hint="cs"/>
                                <w:b/>
                                <w:bCs/>
                                <w:rtl/>
                              </w:rPr>
                              <w:t>לשכת יועצי מס בישראל</w:t>
                            </w:r>
                          </w:p>
                          <w:p w:rsidR="00555597" w:rsidRDefault="00555597" w:rsidP="00555597">
                            <w:pPr>
                              <w:bidi/>
                              <w:jc w:val="center"/>
                              <w:rPr>
                                <w:b/>
                                <w:bCs/>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F4285" id="_x0000_t202" coordsize="21600,21600" o:spt="202" path="m,l,21600r21600,l21600,xe">
                <v:stroke joinstyle="miter"/>
                <v:path gradientshapeok="t" o:connecttype="rect"/>
              </v:shapetype>
              <v:shape id="תיבת טקסט 20" o:spid="_x0000_s1026" type="#_x0000_t202" style="position:absolute;left:0;text-align:left;margin-left:36.75pt;margin-top:.55pt;width:315pt;height: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" stroked="f">
                <v:textbox>
                  <w:txbxContent>
                    <w:p w:rsidR="00555597" w:rsidRPr="007B786D" w:rsidRDefault="007B786D" w:rsidP="00555597">
                      <w:pPr>
                        <w:bidi/>
                        <w:jc w:val="center"/>
                        <w:rPr>
                          <w:b/>
                          <w:bCs/>
                          <w:rtl/>
                        </w:rPr>
                      </w:pPr>
                      <w:r w:rsidRPr="007B786D">
                        <w:rPr>
                          <w:rFonts w:hint="cs"/>
                          <w:b/>
                          <w:bCs/>
                          <w:rtl/>
                        </w:rPr>
                        <w:t xml:space="preserve">עורך מקצועי: </w:t>
                      </w:r>
                    </w:p>
                    <w:p w:rsidR="007B786D" w:rsidRPr="007B786D" w:rsidRDefault="007B786D" w:rsidP="007B786D">
                      <w:pPr>
                        <w:bidi/>
                        <w:jc w:val="center"/>
                        <w:rPr>
                          <w:b/>
                          <w:bCs/>
                          <w:rtl/>
                        </w:rPr>
                      </w:pPr>
                      <w:r w:rsidRPr="007B786D">
                        <w:rPr>
                          <w:rFonts w:hint="cs"/>
                          <w:b/>
                          <w:bCs/>
                          <w:rtl/>
                        </w:rPr>
                        <w:t>שחר אלוני</w:t>
                      </w:r>
                    </w:p>
                    <w:p w:rsidR="007B786D" w:rsidRPr="007B786D" w:rsidRDefault="007B786D" w:rsidP="007B786D">
                      <w:pPr>
                        <w:bidi/>
                        <w:jc w:val="center"/>
                        <w:rPr>
                          <w:b/>
                          <w:bCs/>
                          <w:rtl/>
                        </w:rPr>
                      </w:pPr>
                      <w:r w:rsidRPr="007B786D">
                        <w:rPr>
                          <w:rFonts w:hint="cs"/>
                          <w:b/>
                          <w:bCs/>
                          <w:rtl/>
                        </w:rPr>
                        <w:t>יו"ר מרחב תל אביב</w:t>
                      </w:r>
                    </w:p>
                    <w:p w:rsidR="007B786D" w:rsidRPr="007B786D" w:rsidRDefault="007B786D" w:rsidP="007B786D">
                      <w:pPr>
                        <w:bidi/>
                        <w:jc w:val="center"/>
                        <w:rPr>
                          <w:b/>
                          <w:bCs/>
                          <w:rtl/>
                        </w:rPr>
                      </w:pPr>
                      <w:r w:rsidRPr="007B786D">
                        <w:rPr>
                          <w:rFonts w:hint="cs"/>
                          <w:b/>
                          <w:bCs/>
                          <w:rtl/>
                        </w:rPr>
                        <w:t>לשכת יועצי מס בישראל</w:t>
                      </w:r>
                    </w:p>
                    <w:p w:rsidR="00555597" w:rsidRDefault="00555597" w:rsidP="00555597">
                      <w:pPr>
                        <w:bidi/>
                        <w:jc w:val="center"/>
                        <w:rPr>
                          <w:b/>
                          <w:bCs/>
                          <w:sz w:val="28"/>
                          <w:szCs w:val="28"/>
                          <w:rtl/>
                        </w:rPr>
                      </w:pPr>
                    </w:p>
                  </w:txbxContent>
                </v:textbox>
              </v:shape>
            </w:pict>
          </mc:Fallback>
        </mc:AlternateContent>
      </w:r>
    </w:p>
    <w:p w:rsidR="00555597" w:rsidRPr="002D5621" w:rsidRDefault="00555597" w:rsidP="00555597">
      <w:pPr>
        <w:bidi/>
        <w:rPr>
          <w:noProof/>
          <w:color w:val="000000" w:themeColor="text1"/>
          <w:sz w:val="20"/>
          <w:rtl/>
        </w:rPr>
      </w:pPr>
    </w:p>
    <w:p w:rsidR="00555597" w:rsidRPr="002D5621" w:rsidRDefault="00555597" w:rsidP="00555597">
      <w:pPr>
        <w:bidi/>
        <w:rPr>
          <w:noProof/>
          <w:color w:val="000000" w:themeColor="text1"/>
          <w:sz w:val="20"/>
          <w:rtl/>
        </w:rPr>
      </w:pPr>
    </w:p>
    <w:p w:rsidR="00555597" w:rsidRPr="002D5621" w:rsidRDefault="00555597" w:rsidP="00555597">
      <w:pPr>
        <w:bidi/>
        <w:rPr>
          <w:noProof/>
          <w:color w:val="000000" w:themeColor="text1"/>
          <w:sz w:val="20"/>
          <w:rtl/>
        </w:rPr>
      </w:pPr>
    </w:p>
    <w:p w:rsidR="00555597" w:rsidRPr="002D5621" w:rsidRDefault="00555597" w:rsidP="00555597">
      <w:pPr>
        <w:bidi/>
        <w:rPr>
          <w:color w:val="000000" w:themeColor="text1"/>
          <w:rtl/>
        </w:rPr>
      </w:pPr>
    </w:p>
    <w:p w:rsidR="00555597" w:rsidRPr="002D5621" w:rsidRDefault="00555597" w:rsidP="00555597">
      <w:pPr>
        <w:bidi/>
        <w:rPr>
          <w:color w:val="000000" w:themeColor="text1"/>
          <w:rtl/>
        </w:rPr>
      </w:pPr>
    </w:p>
    <w:p w:rsidR="00555597" w:rsidRPr="002D5621" w:rsidRDefault="00555597" w:rsidP="00555597">
      <w:pPr>
        <w:bidi/>
        <w:rPr>
          <w:color w:val="000000" w:themeColor="text1"/>
          <w:rtl/>
        </w:rPr>
      </w:pPr>
    </w:p>
    <w:p w:rsidR="00555597" w:rsidRPr="002D5621" w:rsidRDefault="00555597" w:rsidP="00555597">
      <w:pPr>
        <w:bidi/>
        <w:rPr>
          <w:color w:val="000000" w:themeColor="text1"/>
          <w:rtl/>
        </w:rPr>
      </w:pPr>
    </w:p>
    <w:p w:rsidR="00555597" w:rsidRPr="002D5621" w:rsidRDefault="00AC1126" w:rsidP="00555597">
      <w:pPr>
        <w:bidi/>
        <w:rPr>
          <w:color w:val="000000" w:themeColor="text1"/>
          <w:rtl/>
        </w:rPr>
      </w:pPr>
      <w:r w:rsidRPr="002D5621">
        <w:rPr>
          <w:noProof/>
          <w:color w:val="000000" w:themeColor="text1"/>
          <w:sz w:val="20"/>
          <w:rtl/>
        </w:rPr>
        <mc:AlternateContent>
          <mc:Choice Requires="wps">
            <w:drawing>
              <wp:anchor distT="0" distB="0" distL="114300" distR="114300" simplePos="0" relativeHeight="251646464" behindDoc="0" locked="0" layoutInCell="1" allowOverlap="1" wp14:anchorId="1E39B711" wp14:editId="2730BE40">
                <wp:simplePos x="0" y="0"/>
                <wp:positionH relativeFrom="column">
                  <wp:posOffset>295910</wp:posOffset>
                </wp:positionH>
                <wp:positionV relativeFrom="paragraph">
                  <wp:posOffset>6985</wp:posOffset>
                </wp:positionV>
                <wp:extent cx="4686300" cy="342900"/>
                <wp:effectExtent l="0" t="0" r="0" b="0"/>
                <wp:wrapNone/>
                <wp:docPr id="18" name="תיבת טקסט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597" w:rsidRDefault="00555597" w:rsidP="00360EF8">
                            <w:pPr>
                              <w:bidi/>
                              <w:ind w:left="360"/>
                              <w:jc w:val="center"/>
                              <w:rPr>
                                <w:sz w:val="32"/>
                                <w:szCs w:val="32"/>
                                <w:rtl/>
                              </w:rPr>
                            </w:pPr>
                            <w:r>
                              <w:rPr>
                                <w:rFonts w:hint="cs"/>
                                <w:sz w:val="32"/>
                                <w:szCs w:val="32"/>
                                <w:rtl/>
                              </w:rPr>
                              <w:t>גיליו</w:t>
                            </w:r>
                            <w:r>
                              <w:rPr>
                                <w:rFonts w:hint="eastAsia"/>
                                <w:sz w:val="32"/>
                                <w:szCs w:val="32"/>
                                <w:rtl/>
                              </w:rPr>
                              <w:t>ן</w:t>
                            </w:r>
                            <w:r>
                              <w:rPr>
                                <w:rFonts w:hint="cs"/>
                                <w:sz w:val="32"/>
                                <w:szCs w:val="32"/>
                                <w:rtl/>
                              </w:rPr>
                              <w:t xml:space="preserve"> מס'-  </w:t>
                            </w:r>
                            <w:r w:rsidR="00AC1126">
                              <w:rPr>
                                <w:rFonts w:hint="cs"/>
                                <w:sz w:val="32"/>
                                <w:szCs w:val="32"/>
                                <w:rtl/>
                              </w:rPr>
                              <w:t>3</w:t>
                            </w:r>
                            <w:r w:rsidR="00F267B2">
                              <w:rPr>
                                <w:rFonts w:hint="cs"/>
                                <w:sz w:val="32"/>
                                <w:szCs w:val="32"/>
                                <w:rtl/>
                              </w:rPr>
                              <w:t xml:space="preserve">  </w:t>
                            </w:r>
                            <w:r w:rsidR="00360EF8">
                              <w:rPr>
                                <w:rFonts w:hint="cs"/>
                                <w:sz w:val="32"/>
                                <w:szCs w:val="32"/>
                                <w:rtl/>
                              </w:rPr>
                              <w:t>27</w:t>
                            </w:r>
                            <w:r w:rsidR="00F267B2">
                              <w:rPr>
                                <w:rFonts w:hint="cs"/>
                                <w:sz w:val="32"/>
                                <w:szCs w:val="32"/>
                                <w:rtl/>
                              </w:rPr>
                              <w:t>.</w:t>
                            </w:r>
                            <w:r w:rsidR="00360EF8">
                              <w:rPr>
                                <w:rFonts w:hint="cs"/>
                                <w:sz w:val="32"/>
                                <w:szCs w:val="32"/>
                                <w:rtl/>
                              </w:rPr>
                              <w:t>11</w:t>
                            </w:r>
                            <w:r w:rsidR="00F267B2">
                              <w:rPr>
                                <w:rFonts w:hint="cs"/>
                                <w:sz w:val="32"/>
                                <w:szCs w:val="32"/>
                                <w:rtl/>
                              </w:rPr>
                              <w:t>.2013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9B711" id="תיבת טקסט 18" o:spid="_x0000_s1027" type="#_x0000_t202" style="position:absolute;left:0;text-align:left;margin-left:23.3pt;margin-top:.55pt;width:369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" stroked="f">
                <v:textbox>
                  <w:txbxContent>
                    <w:p w:rsidR="00555597" w:rsidRDefault="00555597" w:rsidP="00360EF8">
                      <w:pPr>
                        <w:bidi/>
                        <w:ind w:left="360"/>
                        <w:jc w:val="center"/>
                        <w:rPr>
                          <w:sz w:val="32"/>
                          <w:szCs w:val="32"/>
                          <w:rtl/>
                        </w:rPr>
                      </w:pPr>
                      <w:r>
                        <w:rPr>
                          <w:rFonts w:hint="cs"/>
                          <w:sz w:val="32"/>
                          <w:szCs w:val="32"/>
                          <w:rtl/>
                        </w:rPr>
                        <w:t>גיליו</w:t>
                      </w:r>
                      <w:r>
                        <w:rPr>
                          <w:rFonts w:hint="eastAsia"/>
                          <w:sz w:val="32"/>
                          <w:szCs w:val="32"/>
                          <w:rtl/>
                        </w:rPr>
                        <w:t>ן</w:t>
                      </w:r>
                      <w:r>
                        <w:rPr>
                          <w:rFonts w:hint="cs"/>
                          <w:sz w:val="32"/>
                          <w:szCs w:val="32"/>
                          <w:rtl/>
                        </w:rPr>
                        <w:t xml:space="preserve"> מס'-  </w:t>
                      </w:r>
                      <w:r w:rsidR="00AC1126">
                        <w:rPr>
                          <w:rFonts w:hint="cs"/>
                          <w:sz w:val="32"/>
                          <w:szCs w:val="32"/>
                          <w:rtl/>
                        </w:rPr>
                        <w:t>3</w:t>
                      </w:r>
                      <w:r w:rsidR="00F267B2">
                        <w:rPr>
                          <w:rFonts w:hint="cs"/>
                          <w:sz w:val="32"/>
                          <w:szCs w:val="32"/>
                          <w:rtl/>
                        </w:rPr>
                        <w:t xml:space="preserve">  </w:t>
                      </w:r>
                      <w:r w:rsidR="00360EF8">
                        <w:rPr>
                          <w:rFonts w:hint="cs"/>
                          <w:sz w:val="32"/>
                          <w:szCs w:val="32"/>
                          <w:rtl/>
                        </w:rPr>
                        <w:t>27</w:t>
                      </w:r>
                      <w:r w:rsidR="00F267B2">
                        <w:rPr>
                          <w:rFonts w:hint="cs"/>
                          <w:sz w:val="32"/>
                          <w:szCs w:val="32"/>
                          <w:rtl/>
                        </w:rPr>
                        <w:t>.</w:t>
                      </w:r>
                      <w:r w:rsidR="00360EF8">
                        <w:rPr>
                          <w:rFonts w:hint="cs"/>
                          <w:sz w:val="32"/>
                          <w:szCs w:val="32"/>
                          <w:rtl/>
                        </w:rPr>
                        <w:t>11</w:t>
                      </w:r>
                      <w:r w:rsidR="00F267B2">
                        <w:rPr>
                          <w:rFonts w:hint="cs"/>
                          <w:sz w:val="32"/>
                          <w:szCs w:val="32"/>
                          <w:rtl/>
                        </w:rPr>
                        <w:t>.2013</w:t>
                      </w:r>
                    </w:p>
                  </w:txbxContent>
                </v:textbox>
              </v:shape>
            </w:pict>
          </mc:Fallback>
        </mc:AlternateContent>
      </w:r>
    </w:p>
    <w:p w:rsidR="00555597" w:rsidRPr="002D5621" w:rsidRDefault="00555597" w:rsidP="00555597">
      <w:pPr>
        <w:bidi/>
        <w:rPr>
          <w:color w:val="000000" w:themeColor="text1"/>
          <w:rtl/>
        </w:rPr>
      </w:pPr>
    </w:p>
    <w:p w:rsidR="00555597" w:rsidRPr="002D5621" w:rsidRDefault="00555597" w:rsidP="00555597">
      <w:pPr>
        <w:bidi/>
        <w:rPr>
          <w:color w:val="000000" w:themeColor="text1"/>
          <w:rtl/>
        </w:rPr>
      </w:pPr>
    </w:p>
    <w:p w:rsidR="00555597" w:rsidRPr="002D5621" w:rsidRDefault="00555597" w:rsidP="00555597">
      <w:pPr>
        <w:bidi/>
        <w:rPr>
          <w:color w:val="000000" w:themeColor="text1"/>
          <w:rtl/>
        </w:rPr>
      </w:pPr>
    </w:p>
    <w:p w:rsidR="00555597" w:rsidRPr="002D5621" w:rsidRDefault="00555597" w:rsidP="00555597">
      <w:pPr>
        <w:bidi/>
        <w:rPr>
          <w:color w:val="000000" w:themeColor="text1"/>
          <w:rtl/>
        </w:rPr>
      </w:pPr>
    </w:p>
    <w:p w:rsidR="00555597" w:rsidRPr="002D5621" w:rsidRDefault="00555597" w:rsidP="00555597">
      <w:pPr>
        <w:bidi/>
        <w:rPr>
          <w:color w:val="000000" w:themeColor="text1"/>
          <w:rtl/>
        </w:rPr>
      </w:pPr>
    </w:p>
    <w:p w:rsidR="00555597" w:rsidRPr="002D5621" w:rsidRDefault="00555597" w:rsidP="00555597">
      <w:pPr>
        <w:bidi/>
        <w:rPr>
          <w:color w:val="000000" w:themeColor="text1"/>
          <w:rtl/>
        </w:rPr>
      </w:pPr>
    </w:p>
    <w:p w:rsidR="00555597" w:rsidRPr="002D5621" w:rsidRDefault="00917A8B" w:rsidP="00555597">
      <w:pPr>
        <w:bidi/>
        <w:jc w:val="both"/>
        <w:rPr>
          <w:color w:val="000000" w:themeColor="text1"/>
          <w:rtl/>
        </w:rPr>
      </w:pPr>
      <w:r w:rsidRPr="002D5621">
        <w:rPr>
          <w:noProof/>
          <w:color w:val="000000" w:themeColor="text1"/>
          <w:sz w:val="20"/>
          <w:rtl/>
        </w:rPr>
        <mc:AlternateContent>
          <mc:Choice Requires="wps">
            <w:drawing>
              <wp:anchor distT="0" distB="0" distL="114300" distR="114300" simplePos="0" relativeHeight="251659776" behindDoc="0" locked="0" layoutInCell="1" allowOverlap="1" wp14:anchorId="4CBB44B8" wp14:editId="47483464">
                <wp:simplePos x="0" y="0"/>
                <wp:positionH relativeFrom="column">
                  <wp:posOffset>-247650</wp:posOffset>
                </wp:positionH>
                <wp:positionV relativeFrom="paragraph">
                  <wp:posOffset>180340</wp:posOffset>
                </wp:positionV>
                <wp:extent cx="5434330" cy="1628775"/>
                <wp:effectExtent l="0" t="0" r="13970" b="28575"/>
                <wp:wrapNone/>
                <wp:docPr id="16" name="תיבת טקסט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1628775"/>
                        </a:xfrm>
                        <a:prstGeom prst="rect">
                          <a:avLst/>
                        </a:prstGeom>
                        <a:solidFill>
                          <a:srgbClr val="FFFFFF"/>
                        </a:solidFill>
                        <a:ln w="9525">
                          <a:solidFill>
                            <a:srgbClr val="000000"/>
                          </a:solidFill>
                          <a:miter lim="800000"/>
                          <a:headEnd/>
                          <a:tailEnd/>
                        </a:ln>
                      </wps:spPr>
                      <wps:txbx>
                        <w:txbxContent>
                          <w:p w:rsidR="00917A8B" w:rsidRPr="00917A8B" w:rsidRDefault="00917A8B" w:rsidP="00917A8B">
                            <w:pPr>
                              <w:bidi/>
                              <w:rPr>
                                <w:rtl/>
                              </w:rPr>
                            </w:pPr>
                          </w:p>
                          <w:p w:rsidR="00917A8B" w:rsidRPr="00917A8B" w:rsidRDefault="00917A8B" w:rsidP="00917A8B">
                            <w:pPr>
                              <w:pStyle w:val="ae"/>
                              <w:numPr>
                                <w:ilvl w:val="0"/>
                                <w:numId w:val="13"/>
                              </w:numPr>
                              <w:bidi/>
                              <w:rPr>
                                <w:rFonts w:ascii="Arial" w:hAnsi="Arial"/>
                              </w:rPr>
                            </w:pPr>
                            <w:r w:rsidRPr="00917A8B">
                              <w:rPr>
                                <w:rFonts w:ascii="Arial" w:hAnsi="Arial"/>
                                <w:rtl/>
                              </w:rPr>
                              <w:t>בנקים זרים דורשים מישראלים וותרו על החיסיון בנקאי או שתסגרו את החשבון</w:t>
                            </w:r>
                            <w:r w:rsidRPr="00917A8B">
                              <w:rPr>
                                <w:rFonts w:ascii="Arial" w:hAnsi="Arial" w:hint="cs"/>
                                <w:rtl/>
                              </w:rPr>
                              <w:t xml:space="preserve">. </w:t>
                            </w:r>
                            <w:r w:rsidRPr="00917A8B">
                              <w:rPr>
                                <w:rFonts w:ascii="Arial" w:hAnsi="Arial"/>
                                <w:rtl/>
                              </w:rPr>
                              <w:t>הפתרון גילוי מרצון</w:t>
                            </w:r>
                            <w:r w:rsidR="00A037D0">
                              <w:rPr>
                                <w:rFonts w:ascii="Arial" w:hAnsi="Arial" w:hint="cs"/>
                                <w:rtl/>
                              </w:rPr>
                              <w:t>.</w:t>
                            </w:r>
                          </w:p>
                          <w:p w:rsidR="00917A8B" w:rsidRPr="00917A8B" w:rsidRDefault="00917A8B" w:rsidP="00917A8B">
                            <w:pPr>
                              <w:pStyle w:val="ae"/>
                              <w:numPr>
                                <w:ilvl w:val="0"/>
                                <w:numId w:val="13"/>
                              </w:numPr>
                              <w:bidi/>
                              <w:rPr>
                                <w:color w:val="000000" w:themeColor="text1"/>
                                <w:rtl/>
                              </w:rPr>
                            </w:pPr>
                            <w:r w:rsidRPr="00917A8B">
                              <w:rPr>
                                <w:rFonts w:hint="cs"/>
                                <w:color w:val="000000" w:themeColor="text1"/>
                                <w:rtl/>
                              </w:rPr>
                              <w:t xml:space="preserve">מהפכה במיסוי דירות מגורים להשקעה </w:t>
                            </w:r>
                          </w:p>
                          <w:p w:rsidR="00917A8B" w:rsidRPr="00917A8B" w:rsidRDefault="00917A8B" w:rsidP="00917A8B">
                            <w:pPr>
                              <w:pStyle w:val="ae"/>
                              <w:numPr>
                                <w:ilvl w:val="0"/>
                                <w:numId w:val="13"/>
                              </w:numPr>
                              <w:bidi/>
                            </w:pPr>
                            <w:r w:rsidRPr="00917A8B">
                              <w:rPr>
                                <w:rFonts w:hint="cs"/>
                                <w:rtl/>
                              </w:rPr>
                              <w:t>נדחתה</w:t>
                            </w:r>
                            <w:r w:rsidRPr="00917A8B">
                              <w:rPr>
                                <w:rtl/>
                              </w:rPr>
                              <w:t xml:space="preserve"> </w:t>
                            </w:r>
                            <w:r w:rsidRPr="00917A8B">
                              <w:rPr>
                                <w:rFonts w:hint="cs"/>
                                <w:rtl/>
                              </w:rPr>
                              <w:t>תביעת</w:t>
                            </w:r>
                            <w:r w:rsidRPr="00917A8B">
                              <w:t xml:space="preserve"> </w:t>
                            </w:r>
                            <w:r w:rsidRPr="00917A8B">
                              <w:rPr>
                                <w:rFonts w:hint="cs"/>
                                <w:rtl/>
                              </w:rPr>
                              <w:t>פיצויים עבור עובדת</w:t>
                            </w:r>
                            <w:r w:rsidRPr="00917A8B">
                              <w:rPr>
                                <w:rtl/>
                              </w:rPr>
                              <w:t xml:space="preserve"> </w:t>
                            </w:r>
                            <w:r w:rsidRPr="00917A8B">
                              <w:rPr>
                                <w:rFonts w:hint="cs"/>
                                <w:rtl/>
                              </w:rPr>
                              <w:t>שפוטרה</w:t>
                            </w:r>
                            <w:r w:rsidRPr="00917A8B">
                              <w:rPr>
                                <w:rtl/>
                              </w:rPr>
                              <w:t xml:space="preserve"> </w:t>
                            </w:r>
                            <w:r w:rsidRPr="00917A8B">
                              <w:rPr>
                                <w:rFonts w:hint="cs"/>
                                <w:rtl/>
                              </w:rPr>
                              <w:t>בטענה</w:t>
                            </w:r>
                            <w:r w:rsidRPr="00917A8B">
                              <w:rPr>
                                <w:rtl/>
                              </w:rPr>
                              <w:t xml:space="preserve"> </w:t>
                            </w:r>
                            <w:r w:rsidRPr="00917A8B">
                              <w:rPr>
                                <w:rFonts w:hint="cs"/>
                                <w:rtl/>
                              </w:rPr>
                              <w:t>כי</w:t>
                            </w:r>
                            <w:r w:rsidRPr="00917A8B">
                              <w:rPr>
                                <w:rtl/>
                              </w:rPr>
                              <w:t xml:space="preserve"> </w:t>
                            </w:r>
                            <w:r w:rsidRPr="00917A8B">
                              <w:rPr>
                                <w:rFonts w:hint="cs"/>
                                <w:rtl/>
                              </w:rPr>
                              <w:t>פוטרה</w:t>
                            </w:r>
                            <w:r w:rsidRPr="00917A8B">
                              <w:rPr>
                                <w:rtl/>
                              </w:rPr>
                              <w:t xml:space="preserve"> </w:t>
                            </w:r>
                            <w:r w:rsidRPr="00917A8B">
                              <w:rPr>
                                <w:rFonts w:hint="cs"/>
                                <w:rtl/>
                              </w:rPr>
                              <w:t>עקב</w:t>
                            </w:r>
                            <w:r w:rsidRPr="00917A8B">
                              <w:rPr>
                                <w:rtl/>
                              </w:rPr>
                              <w:t xml:space="preserve"> </w:t>
                            </w:r>
                            <w:r w:rsidRPr="00917A8B">
                              <w:rPr>
                                <w:rFonts w:hint="cs"/>
                                <w:rtl/>
                              </w:rPr>
                              <w:t>טיפולי</w:t>
                            </w:r>
                            <w:r w:rsidRPr="00917A8B">
                              <w:rPr>
                                <w:rtl/>
                              </w:rPr>
                              <w:t xml:space="preserve"> </w:t>
                            </w:r>
                            <w:r w:rsidRPr="00917A8B">
                              <w:rPr>
                                <w:rFonts w:hint="cs"/>
                                <w:rtl/>
                              </w:rPr>
                              <w:t>הפוריות</w:t>
                            </w:r>
                          </w:p>
                          <w:p w:rsidR="00917A8B" w:rsidRPr="00917A8B" w:rsidRDefault="00917A8B" w:rsidP="00360EF8">
                            <w:pPr>
                              <w:pStyle w:val="ae"/>
                              <w:numPr>
                                <w:ilvl w:val="0"/>
                                <w:numId w:val="13"/>
                              </w:numPr>
                              <w:bidi/>
                              <w:rPr>
                                <w:color w:val="000000" w:themeColor="text1"/>
                                <w:rtl/>
                              </w:rPr>
                            </w:pPr>
                            <w:r w:rsidRPr="00917A8B">
                              <w:rPr>
                                <w:rFonts w:hint="cs"/>
                                <w:rtl/>
                              </w:rPr>
                              <w:t xml:space="preserve">חוזר </w:t>
                            </w:r>
                            <w:r w:rsidR="00360EF8">
                              <w:rPr>
                                <w:rFonts w:hint="cs"/>
                                <w:rtl/>
                              </w:rPr>
                              <w:t>207</w:t>
                            </w:r>
                            <w:r w:rsidRPr="00917A8B">
                              <w:rPr>
                                <w:rFonts w:hint="cs"/>
                                <w:rtl/>
                              </w:rPr>
                              <w:t>- ספטמבר 2013</w:t>
                            </w:r>
                          </w:p>
                          <w:p w:rsidR="00917A8B" w:rsidRPr="00917A8B" w:rsidRDefault="00917A8B" w:rsidP="00917A8B">
                            <w:pPr>
                              <w:pStyle w:val="ae"/>
                              <w:numPr>
                                <w:ilvl w:val="0"/>
                                <w:numId w:val="13"/>
                              </w:numPr>
                              <w:bidi/>
                              <w:rPr>
                                <w:rtl/>
                              </w:rPr>
                            </w:pPr>
                            <w:r w:rsidRPr="00917A8B">
                              <w:rPr>
                                <w:rFonts w:hint="eastAsia"/>
                                <w:rtl/>
                              </w:rPr>
                              <w:t>ה</w:t>
                            </w:r>
                            <w:r w:rsidRPr="00917A8B">
                              <w:rPr>
                                <w:rFonts w:hint="cs"/>
                                <w:rtl/>
                              </w:rPr>
                              <w:t>צעת חוק מס ערך מוסף (תיקון -</w:t>
                            </w:r>
                            <w:r w:rsidRPr="00917A8B">
                              <w:rPr>
                                <w:rFonts w:hint="eastAsia"/>
                                <w:rtl/>
                              </w:rPr>
                              <w:t xml:space="preserve"> </w:t>
                            </w:r>
                            <w:r w:rsidRPr="00917A8B">
                              <w:rPr>
                                <w:rFonts w:hint="cs"/>
                                <w:rtl/>
                              </w:rPr>
                              <w:t>ביטול מס ערך מוסף על הבלו), התשע"ג-</w:t>
                            </w:r>
                            <w:r w:rsidRPr="00917A8B">
                              <w:rPr>
                                <w:rFonts w:hint="eastAsia"/>
                                <w:rtl/>
                              </w:rPr>
                              <w:t>2013</w:t>
                            </w:r>
                          </w:p>
                          <w:p w:rsidR="00917A8B" w:rsidRPr="00917A8B" w:rsidRDefault="00917A8B" w:rsidP="00917A8B">
                            <w:pPr>
                              <w:pStyle w:val="ae"/>
                              <w:numPr>
                                <w:ilvl w:val="0"/>
                                <w:numId w:val="13"/>
                              </w:numPr>
                              <w:bidi/>
                              <w:rPr>
                                <w:rtl/>
                              </w:rPr>
                            </w:pPr>
                            <w:r w:rsidRPr="00917A8B">
                              <w:rPr>
                                <w:rFonts w:hint="cs"/>
                                <w:rtl/>
                              </w:rPr>
                              <w:t>חיוב עובד בשווי הטבת רכב והוצאות רכב לעצמאי  - הדין החדש</w:t>
                            </w:r>
                          </w:p>
                          <w:p w:rsidR="00555597" w:rsidRPr="00917A8B" w:rsidRDefault="00555597" w:rsidP="00917A8B">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B44B8" id="תיבת טקסט 16" o:spid="_x0000_s1028" type="#_x0000_t202" style="position:absolute;left:0;text-align:left;margin-left:-19.5pt;margin-top:14.2pt;width:427.9pt;height:12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">
                <v:textbox>
                  <w:txbxContent>
                    <w:p w:rsidR="00917A8B" w:rsidRPr="00917A8B" w:rsidRDefault="00917A8B" w:rsidP="00917A8B">
                      <w:pPr>
                        <w:bidi/>
                        <w:rPr>
                          <w:rtl/>
                        </w:rPr>
                      </w:pPr>
                    </w:p>
                    <w:p w:rsidR="00917A8B" w:rsidRPr="00917A8B" w:rsidRDefault="00917A8B" w:rsidP="00917A8B">
                      <w:pPr>
                        <w:pStyle w:val="ae"/>
                        <w:numPr>
                          <w:ilvl w:val="0"/>
                          <w:numId w:val="13"/>
                        </w:numPr>
                        <w:bidi/>
                        <w:rPr>
                          <w:rFonts w:ascii="Arial" w:hAnsi="Arial"/>
                        </w:rPr>
                      </w:pPr>
                      <w:r w:rsidRPr="00917A8B">
                        <w:rPr>
                          <w:rFonts w:ascii="Arial" w:hAnsi="Arial"/>
                          <w:rtl/>
                        </w:rPr>
                        <w:t>בנקים זרים דורשים מישראלים וותרו על החיסיון בנקאי או שתסגרו את החשבון</w:t>
                      </w:r>
                      <w:r w:rsidRPr="00917A8B">
                        <w:rPr>
                          <w:rFonts w:ascii="Arial" w:hAnsi="Arial" w:hint="cs"/>
                          <w:rtl/>
                        </w:rPr>
                        <w:t xml:space="preserve">. </w:t>
                      </w:r>
                      <w:r w:rsidRPr="00917A8B">
                        <w:rPr>
                          <w:rFonts w:ascii="Arial" w:hAnsi="Arial"/>
                          <w:rtl/>
                        </w:rPr>
                        <w:t>הפתרון גילוי מרצון</w:t>
                      </w:r>
                      <w:r w:rsidR="00A037D0">
                        <w:rPr>
                          <w:rFonts w:ascii="Arial" w:hAnsi="Arial" w:hint="cs"/>
                          <w:rtl/>
                        </w:rPr>
                        <w:t>.</w:t>
                      </w:r>
                    </w:p>
                    <w:p w:rsidR="00917A8B" w:rsidRPr="00917A8B" w:rsidRDefault="00917A8B" w:rsidP="00917A8B">
                      <w:pPr>
                        <w:pStyle w:val="ae"/>
                        <w:numPr>
                          <w:ilvl w:val="0"/>
                          <w:numId w:val="13"/>
                        </w:numPr>
                        <w:bidi/>
                        <w:rPr>
                          <w:color w:val="000000" w:themeColor="text1"/>
                          <w:rtl/>
                        </w:rPr>
                      </w:pPr>
                      <w:r w:rsidRPr="00917A8B">
                        <w:rPr>
                          <w:rFonts w:hint="cs"/>
                          <w:color w:val="000000" w:themeColor="text1"/>
                          <w:rtl/>
                        </w:rPr>
                        <w:t xml:space="preserve">מהפכה במיסוי דירות מגורים להשקעה </w:t>
                      </w:r>
                    </w:p>
                    <w:p w:rsidR="00917A8B" w:rsidRPr="00917A8B" w:rsidRDefault="00917A8B" w:rsidP="00917A8B">
                      <w:pPr>
                        <w:pStyle w:val="ae"/>
                        <w:numPr>
                          <w:ilvl w:val="0"/>
                          <w:numId w:val="13"/>
                        </w:numPr>
                        <w:bidi/>
                      </w:pPr>
                      <w:r w:rsidRPr="00917A8B">
                        <w:rPr>
                          <w:rFonts w:hint="cs"/>
                          <w:rtl/>
                        </w:rPr>
                        <w:t>נדחתה</w:t>
                      </w:r>
                      <w:r w:rsidRPr="00917A8B">
                        <w:rPr>
                          <w:rtl/>
                        </w:rPr>
                        <w:t xml:space="preserve"> </w:t>
                      </w:r>
                      <w:r w:rsidRPr="00917A8B">
                        <w:rPr>
                          <w:rFonts w:hint="cs"/>
                          <w:rtl/>
                        </w:rPr>
                        <w:t>תביעת</w:t>
                      </w:r>
                      <w:r w:rsidRPr="00917A8B">
                        <w:t xml:space="preserve"> </w:t>
                      </w:r>
                      <w:r w:rsidRPr="00917A8B">
                        <w:rPr>
                          <w:rFonts w:hint="cs"/>
                          <w:rtl/>
                        </w:rPr>
                        <w:t>פיצויים עבור עובדת</w:t>
                      </w:r>
                      <w:r w:rsidRPr="00917A8B">
                        <w:rPr>
                          <w:rtl/>
                        </w:rPr>
                        <w:t xml:space="preserve"> </w:t>
                      </w:r>
                      <w:r w:rsidRPr="00917A8B">
                        <w:rPr>
                          <w:rFonts w:hint="cs"/>
                          <w:rtl/>
                        </w:rPr>
                        <w:t>שפוטרה</w:t>
                      </w:r>
                      <w:r w:rsidRPr="00917A8B">
                        <w:rPr>
                          <w:rtl/>
                        </w:rPr>
                        <w:t xml:space="preserve"> </w:t>
                      </w:r>
                      <w:r w:rsidRPr="00917A8B">
                        <w:rPr>
                          <w:rFonts w:hint="cs"/>
                          <w:rtl/>
                        </w:rPr>
                        <w:t>בטענה</w:t>
                      </w:r>
                      <w:r w:rsidRPr="00917A8B">
                        <w:rPr>
                          <w:rtl/>
                        </w:rPr>
                        <w:t xml:space="preserve"> </w:t>
                      </w:r>
                      <w:r w:rsidRPr="00917A8B">
                        <w:rPr>
                          <w:rFonts w:hint="cs"/>
                          <w:rtl/>
                        </w:rPr>
                        <w:t>כי</w:t>
                      </w:r>
                      <w:r w:rsidRPr="00917A8B">
                        <w:rPr>
                          <w:rtl/>
                        </w:rPr>
                        <w:t xml:space="preserve"> </w:t>
                      </w:r>
                      <w:r w:rsidRPr="00917A8B">
                        <w:rPr>
                          <w:rFonts w:hint="cs"/>
                          <w:rtl/>
                        </w:rPr>
                        <w:t>פוטרה</w:t>
                      </w:r>
                      <w:r w:rsidRPr="00917A8B">
                        <w:rPr>
                          <w:rtl/>
                        </w:rPr>
                        <w:t xml:space="preserve"> </w:t>
                      </w:r>
                      <w:r w:rsidRPr="00917A8B">
                        <w:rPr>
                          <w:rFonts w:hint="cs"/>
                          <w:rtl/>
                        </w:rPr>
                        <w:t>עקב</w:t>
                      </w:r>
                      <w:r w:rsidRPr="00917A8B">
                        <w:rPr>
                          <w:rtl/>
                        </w:rPr>
                        <w:t xml:space="preserve"> </w:t>
                      </w:r>
                      <w:r w:rsidRPr="00917A8B">
                        <w:rPr>
                          <w:rFonts w:hint="cs"/>
                          <w:rtl/>
                        </w:rPr>
                        <w:t>טיפולי</w:t>
                      </w:r>
                      <w:r w:rsidRPr="00917A8B">
                        <w:rPr>
                          <w:rtl/>
                        </w:rPr>
                        <w:t xml:space="preserve"> </w:t>
                      </w:r>
                      <w:r w:rsidRPr="00917A8B">
                        <w:rPr>
                          <w:rFonts w:hint="cs"/>
                          <w:rtl/>
                        </w:rPr>
                        <w:t>הפוריות</w:t>
                      </w:r>
                    </w:p>
                    <w:p w:rsidR="00917A8B" w:rsidRPr="00917A8B" w:rsidRDefault="00917A8B" w:rsidP="00360EF8">
                      <w:pPr>
                        <w:pStyle w:val="ae"/>
                        <w:numPr>
                          <w:ilvl w:val="0"/>
                          <w:numId w:val="13"/>
                        </w:numPr>
                        <w:bidi/>
                        <w:rPr>
                          <w:color w:val="000000" w:themeColor="text1"/>
                          <w:rtl/>
                        </w:rPr>
                      </w:pPr>
                      <w:r w:rsidRPr="00917A8B">
                        <w:rPr>
                          <w:rFonts w:hint="cs"/>
                          <w:rtl/>
                        </w:rPr>
                        <w:t xml:space="preserve">חוזר </w:t>
                      </w:r>
                      <w:r w:rsidR="00360EF8">
                        <w:rPr>
                          <w:rFonts w:hint="cs"/>
                          <w:rtl/>
                        </w:rPr>
                        <w:t>207</w:t>
                      </w:r>
                      <w:r w:rsidRPr="00917A8B">
                        <w:rPr>
                          <w:rFonts w:hint="cs"/>
                          <w:rtl/>
                        </w:rPr>
                        <w:t>- ספטמבר 2013</w:t>
                      </w:r>
                    </w:p>
                    <w:p w:rsidR="00917A8B" w:rsidRPr="00917A8B" w:rsidRDefault="00917A8B" w:rsidP="00917A8B">
                      <w:pPr>
                        <w:pStyle w:val="ae"/>
                        <w:numPr>
                          <w:ilvl w:val="0"/>
                          <w:numId w:val="13"/>
                        </w:numPr>
                        <w:bidi/>
                        <w:rPr>
                          <w:rtl/>
                        </w:rPr>
                      </w:pPr>
                      <w:r w:rsidRPr="00917A8B">
                        <w:rPr>
                          <w:rFonts w:hint="eastAsia"/>
                          <w:rtl/>
                        </w:rPr>
                        <w:t>ה</w:t>
                      </w:r>
                      <w:r w:rsidRPr="00917A8B">
                        <w:rPr>
                          <w:rFonts w:hint="cs"/>
                          <w:rtl/>
                        </w:rPr>
                        <w:t>צעת חוק מס ערך מוסף (תיקון -</w:t>
                      </w:r>
                      <w:r w:rsidRPr="00917A8B">
                        <w:rPr>
                          <w:rFonts w:hint="eastAsia"/>
                          <w:rtl/>
                        </w:rPr>
                        <w:t xml:space="preserve"> </w:t>
                      </w:r>
                      <w:r w:rsidRPr="00917A8B">
                        <w:rPr>
                          <w:rFonts w:hint="cs"/>
                          <w:rtl/>
                        </w:rPr>
                        <w:t>ביטול מס ערך מוסף על הבלו), התשע"ג-</w:t>
                      </w:r>
                      <w:r w:rsidRPr="00917A8B">
                        <w:rPr>
                          <w:rFonts w:hint="eastAsia"/>
                          <w:rtl/>
                        </w:rPr>
                        <w:t>2013</w:t>
                      </w:r>
                    </w:p>
                    <w:p w:rsidR="00917A8B" w:rsidRPr="00917A8B" w:rsidRDefault="00917A8B" w:rsidP="00917A8B">
                      <w:pPr>
                        <w:pStyle w:val="ae"/>
                        <w:numPr>
                          <w:ilvl w:val="0"/>
                          <w:numId w:val="13"/>
                        </w:numPr>
                        <w:bidi/>
                        <w:rPr>
                          <w:rtl/>
                        </w:rPr>
                      </w:pPr>
                      <w:r w:rsidRPr="00917A8B">
                        <w:rPr>
                          <w:rFonts w:hint="cs"/>
                          <w:rtl/>
                        </w:rPr>
                        <w:t>חיוב עובד בשווי הטבת רכב והוצאות רכב לעצמאי  - הדין החדש</w:t>
                      </w:r>
                    </w:p>
                    <w:p w:rsidR="00555597" w:rsidRPr="00917A8B" w:rsidRDefault="00555597" w:rsidP="00917A8B">
                      <w:pPr>
                        <w:bidi/>
                      </w:pPr>
                    </w:p>
                  </w:txbxContent>
                </v:textbox>
              </v:shape>
            </w:pict>
          </mc:Fallback>
        </mc:AlternateContent>
      </w:r>
      <w:r w:rsidR="00AC1126" w:rsidRPr="002D5621">
        <w:rPr>
          <w:noProof/>
          <w:color w:val="000000" w:themeColor="text1"/>
          <w:sz w:val="20"/>
          <w:rtl/>
        </w:rPr>
        <mc:AlternateContent>
          <mc:Choice Requires="wps">
            <w:drawing>
              <wp:anchor distT="0" distB="0" distL="114300" distR="114300" simplePos="0" relativeHeight="251674112" behindDoc="0" locked="0" layoutInCell="1" allowOverlap="1" wp14:anchorId="1AC1236D" wp14:editId="7E78D1C1">
                <wp:simplePos x="0" y="0"/>
                <wp:positionH relativeFrom="column">
                  <wp:posOffset>2000250</wp:posOffset>
                </wp:positionH>
                <wp:positionV relativeFrom="paragraph">
                  <wp:posOffset>113665</wp:posOffset>
                </wp:positionV>
                <wp:extent cx="1028700" cy="228600"/>
                <wp:effectExtent l="9525" t="13970" r="9525" b="5080"/>
                <wp:wrapNone/>
                <wp:docPr id="17" name="תיבת טקסט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555597" w:rsidRDefault="00555597" w:rsidP="00555597">
                            <w:pPr>
                              <w:bidi/>
                              <w:jc w:val="center"/>
                              <w:rPr>
                                <w:rtl/>
                              </w:rPr>
                            </w:pPr>
                            <w:r>
                              <w:rPr>
                                <w:rFonts w:hint="cs"/>
                                <w:rtl/>
                              </w:rPr>
                              <w:t>בגיליו</w:t>
                            </w:r>
                            <w:r>
                              <w:rPr>
                                <w:rFonts w:hint="eastAsia"/>
                                <w:rtl/>
                              </w:rPr>
                              <w:t>ן</w:t>
                            </w:r>
                            <w:r>
                              <w:rPr>
                                <w:rFonts w:hint="cs"/>
                                <w:rtl/>
                              </w:rPr>
                              <w:t xml:space="preserve"> זה: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1236D" id="תיבת טקסט 17" o:spid="_x0000_s1029" type="#_x0000_t202" style="position:absolute;left:0;text-align:left;margin-left:157.5pt;margin-top:8.95pt;width:81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">
                <v:textbox>
                  <w:txbxContent>
                    <w:p w:rsidR="00555597" w:rsidRDefault="00555597" w:rsidP="00555597">
                      <w:pPr>
                        <w:bidi/>
                        <w:jc w:val="center"/>
                        <w:rPr>
                          <w:rtl/>
                        </w:rPr>
                      </w:pPr>
                      <w:r>
                        <w:rPr>
                          <w:rFonts w:hint="cs"/>
                          <w:rtl/>
                        </w:rPr>
                        <w:t>בגיליו</w:t>
                      </w:r>
                      <w:r>
                        <w:rPr>
                          <w:rFonts w:hint="eastAsia"/>
                          <w:rtl/>
                        </w:rPr>
                        <w:t>ן</w:t>
                      </w:r>
                      <w:r>
                        <w:rPr>
                          <w:rFonts w:hint="cs"/>
                          <w:rtl/>
                        </w:rPr>
                        <w:t xml:space="preserve"> זה:</w:t>
                      </w:r>
                    </w:p>
                  </w:txbxContent>
                </v:textbox>
              </v:shape>
            </w:pict>
          </mc:Fallback>
        </mc:AlternateContent>
      </w:r>
    </w:p>
    <w:p w:rsidR="00973976" w:rsidRPr="002D5621" w:rsidRDefault="00973976" w:rsidP="00973976">
      <w:pPr>
        <w:bidi/>
        <w:jc w:val="both"/>
        <w:rPr>
          <w:color w:val="000000" w:themeColor="text1"/>
          <w:rtl/>
        </w:rPr>
      </w:pPr>
    </w:p>
    <w:p w:rsidR="00973976" w:rsidRPr="002D5621" w:rsidRDefault="00973976" w:rsidP="00973976">
      <w:pPr>
        <w:bidi/>
        <w:jc w:val="both"/>
        <w:rPr>
          <w:color w:val="000000" w:themeColor="text1"/>
          <w:rtl/>
        </w:rPr>
      </w:pPr>
    </w:p>
    <w:p w:rsidR="00973976" w:rsidRPr="002D5621" w:rsidRDefault="00973976" w:rsidP="00973976">
      <w:pPr>
        <w:bidi/>
        <w:jc w:val="both"/>
        <w:rPr>
          <w:color w:val="000000" w:themeColor="text1"/>
          <w:rtl/>
        </w:rPr>
        <w:sectPr w:rsidR="00973976" w:rsidRPr="002D5621" w:rsidSect="00555597">
          <w:headerReference w:type="even" r:id="rId9"/>
          <w:headerReference w:type="default" r:id="rId10"/>
          <w:footerReference w:type="default" r:id="rId11"/>
          <w:footerReference w:type="first" r:id="rId12"/>
          <w:pgSz w:w="11906" w:h="16838"/>
          <w:pgMar w:top="180" w:right="1800" w:bottom="1258" w:left="1800" w:header="708" w:footer="708" w:gutter="0"/>
          <w:cols w:space="720"/>
          <w:titlePg/>
          <w:bidi/>
          <w:docGrid w:linePitch="360"/>
        </w:sectPr>
      </w:pPr>
    </w:p>
    <w:p w:rsidR="00AC1126" w:rsidRPr="002D5621" w:rsidRDefault="00AC1126" w:rsidP="00AC1126">
      <w:pPr>
        <w:bidi/>
        <w:ind w:firstLine="26"/>
        <w:jc w:val="center"/>
        <w:rPr>
          <w:b/>
          <w:bCs/>
          <w:color w:val="000000" w:themeColor="text1"/>
          <w:sz w:val="32"/>
          <w:szCs w:val="32"/>
          <w:u w:val="single"/>
          <w:rtl/>
        </w:rPr>
      </w:pPr>
    </w:p>
    <w:p w:rsidR="00AC1126" w:rsidRPr="002D5621" w:rsidRDefault="00AC1126" w:rsidP="00AC1126">
      <w:pPr>
        <w:bidi/>
        <w:ind w:firstLine="26"/>
        <w:jc w:val="center"/>
        <w:rPr>
          <w:b/>
          <w:bCs/>
          <w:color w:val="000000" w:themeColor="text1"/>
          <w:sz w:val="32"/>
          <w:szCs w:val="32"/>
          <w:u w:val="single"/>
          <w:rtl/>
        </w:rPr>
      </w:pPr>
    </w:p>
    <w:p w:rsidR="00AC1126" w:rsidRPr="002D5621" w:rsidRDefault="00AC1126" w:rsidP="00AC1126">
      <w:pPr>
        <w:bidi/>
        <w:ind w:firstLine="26"/>
        <w:jc w:val="center"/>
        <w:rPr>
          <w:b/>
          <w:bCs/>
          <w:color w:val="000000" w:themeColor="text1"/>
          <w:sz w:val="32"/>
          <w:szCs w:val="32"/>
          <w:u w:val="single"/>
          <w:rtl/>
        </w:rPr>
      </w:pPr>
    </w:p>
    <w:p w:rsidR="00AC1126" w:rsidRPr="002D5621" w:rsidRDefault="00AC1126" w:rsidP="00AC1126">
      <w:pPr>
        <w:bidi/>
        <w:ind w:firstLine="26"/>
        <w:jc w:val="center"/>
        <w:rPr>
          <w:b/>
          <w:bCs/>
          <w:color w:val="000000" w:themeColor="text1"/>
          <w:sz w:val="32"/>
          <w:szCs w:val="32"/>
          <w:u w:val="single"/>
          <w:rtl/>
        </w:rPr>
      </w:pPr>
    </w:p>
    <w:p w:rsidR="00AC1126" w:rsidRPr="002D5621" w:rsidRDefault="00AC1126" w:rsidP="00AC1126">
      <w:pPr>
        <w:bidi/>
        <w:ind w:firstLine="26"/>
        <w:jc w:val="center"/>
        <w:rPr>
          <w:b/>
          <w:bCs/>
          <w:color w:val="000000" w:themeColor="text1"/>
          <w:sz w:val="32"/>
          <w:szCs w:val="32"/>
          <w:u w:val="single"/>
          <w:rtl/>
        </w:rPr>
      </w:pPr>
    </w:p>
    <w:p w:rsidR="00AC1126" w:rsidRPr="002D5621" w:rsidRDefault="00AC1126" w:rsidP="00AC1126">
      <w:pPr>
        <w:bidi/>
        <w:ind w:firstLine="26"/>
        <w:jc w:val="center"/>
        <w:rPr>
          <w:b/>
          <w:bCs/>
          <w:color w:val="000000" w:themeColor="text1"/>
          <w:sz w:val="32"/>
          <w:szCs w:val="32"/>
          <w:u w:val="single"/>
          <w:rtl/>
        </w:rPr>
      </w:pPr>
    </w:p>
    <w:p w:rsidR="00AC1126" w:rsidRPr="002D5621" w:rsidRDefault="00AC1126" w:rsidP="00AC1126">
      <w:pPr>
        <w:bidi/>
        <w:ind w:firstLine="26"/>
        <w:jc w:val="center"/>
        <w:rPr>
          <w:b/>
          <w:bCs/>
          <w:color w:val="000000" w:themeColor="text1"/>
          <w:sz w:val="32"/>
          <w:szCs w:val="32"/>
          <w:u w:val="single"/>
          <w:rtl/>
        </w:rPr>
      </w:pPr>
    </w:p>
    <w:p w:rsidR="00AC1126" w:rsidRPr="002D5621" w:rsidRDefault="00AC1126" w:rsidP="00AC1126">
      <w:pPr>
        <w:bidi/>
        <w:ind w:firstLine="26"/>
        <w:jc w:val="center"/>
        <w:rPr>
          <w:b/>
          <w:bCs/>
          <w:color w:val="000000" w:themeColor="text1"/>
          <w:sz w:val="32"/>
          <w:szCs w:val="32"/>
          <w:u w:val="single"/>
          <w:rtl/>
        </w:rPr>
      </w:pPr>
    </w:p>
    <w:p w:rsidR="00AC1126" w:rsidRPr="002D5621" w:rsidRDefault="00AC1126" w:rsidP="00AC1126">
      <w:pPr>
        <w:bidi/>
        <w:ind w:firstLine="26"/>
        <w:jc w:val="center"/>
        <w:rPr>
          <w:b/>
          <w:bCs/>
          <w:color w:val="000000" w:themeColor="text1"/>
          <w:sz w:val="32"/>
          <w:szCs w:val="32"/>
          <w:u w:val="single"/>
          <w:rtl/>
        </w:rPr>
      </w:pPr>
    </w:p>
    <w:p w:rsidR="00AC1126" w:rsidRPr="002D5621" w:rsidRDefault="00AC1126" w:rsidP="00AC1126">
      <w:pPr>
        <w:bidi/>
        <w:ind w:firstLine="26"/>
        <w:jc w:val="center"/>
        <w:rPr>
          <w:b/>
          <w:bCs/>
          <w:color w:val="000000" w:themeColor="text1"/>
          <w:sz w:val="32"/>
          <w:szCs w:val="32"/>
          <w:u w:val="single"/>
          <w:rtl/>
        </w:rPr>
      </w:pPr>
    </w:p>
    <w:p w:rsidR="00AC1126" w:rsidRPr="002D5621" w:rsidRDefault="00AC1126" w:rsidP="00AC1126">
      <w:pPr>
        <w:bidi/>
        <w:ind w:firstLine="26"/>
        <w:jc w:val="center"/>
        <w:rPr>
          <w:b/>
          <w:bCs/>
          <w:color w:val="000000" w:themeColor="text1"/>
          <w:sz w:val="32"/>
          <w:szCs w:val="32"/>
          <w:u w:val="single"/>
          <w:rtl/>
        </w:rPr>
      </w:pPr>
    </w:p>
    <w:p w:rsidR="00AC1126" w:rsidRPr="002D5621" w:rsidRDefault="00AC1126" w:rsidP="00AC1126">
      <w:pPr>
        <w:bidi/>
        <w:ind w:firstLine="26"/>
        <w:jc w:val="center"/>
        <w:rPr>
          <w:b/>
          <w:bCs/>
          <w:color w:val="000000" w:themeColor="text1"/>
          <w:sz w:val="32"/>
          <w:szCs w:val="32"/>
          <w:u w:val="single"/>
          <w:rtl/>
        </w:rPr>
      </w:pPr>
    </w:p>
    <w:p w:rsidR="00E45319" w:rsidRPr="00E45319" w:rsidRDefault="00E45319" w:rsidP="00E45319">
      <w:pPr>
        <w:bidi/>
        <w:jc w:val="center"/>
        <w:rPr>
          <w:rFonts w:ascii="Arial" w:hAnsi="Arial"/>
          <w:sz w:val="32"/>
          <w:szCs w:val="32"/>
          <w:u w:val="single"/>
        </w:rPr>
      </w:pPr>
      <w:r w:rsidRPr="00E45319">
        <w:rPr>
          <w:rFonts w:ascii="Arial" w:hAnsi="Arial"/>
          <w:b/>
          <w:bCs/>
          <w:sz w:val="32"/>
          <w:szCs w:val="32"/>
          <w:u w:val="single"/>
          <w:rtl/>
        </w:rPr>
        <w:lastRenderedPageBreak/>
        <w:t>בנקים זרים דורשים מישראלים וותרו על החיסיון בנקאי או שתסגרו את החשבון</w:t>
      </w:r>
      <w:r w:rsidRPr="00E45319">
        <w:rPr>
          <w:rFonts w:ascii="Arial" w:hAnsi="Arial" w:hint="cs"/>
          <w:b/>
          <w:bCs/>
          <w:sz w:val="32"/>
          <w:szCs w:val="32"/>
          <w:u w:val="single"/>
          <w:rtl/>
        </w:rPr>
        <w:t xml:space="preserve">. </w:t>
      </w:r>
      <w:r w:rsidRPr="00E45319">
        <w:rPr>
          <w:rFonts w:ascii="Arial" w:hAnsi="Arial"/>
          <w:b/>
          <w:bCs/>
          <w:sz w:val="32"/>
          <w:szCs w:val="32"/>
          <w:u w:val="single"/>
          <w:rtl/>
        </w:rPr>
        <w:t>הפתרון גילוי מרצון</w:t>
      </w:r>
    </w:p>
    <w:p w:rsidR="009D2EE0" w:rsidRDefault="001564D3" w:rsidP="00FC6EA0">
      <w:pPr>
        <w:bidi/>
        <w:ind w:firstLine="26"/>
        <w:jc w:val="center"/>
        <w:rPr>
          <w:b/>
          <w:bCs/>
          <w:color w:val="000000" w:themeColor="text1"/>
          <w:sz w:val="28"/>
          <w:szCs w:val="28"/>
          <w:rtl/>
        </w:rPr>
      </w:pPr>
      <w:r w:rsidRPr="00E45319">
        <w:rPr>
          <w:rFonts w:hint="cs"/>
          <w:b/>
          <w:bCs/>
          <w:color w:val="000000" w:themeColor="text1"/>
          <w:sz w:val="28"/>
          <w:szCs w:val="28"/>
          <w:rtl/>
        </w:rPr>
        <w:t xml:space="preserve">אלי דורון, עו"ד; ירון </w:t>
      </w:r>
      <w:proofErr w:type="spellStart"/>
      <w:r w:rsidRPr="00E45319">
        <w:rPr>
          <w:rFonts w:hint="cs"/>
          <w:b/>
          <w:bCs/>
          <w:color w:val="000000" w:themeColor="text1"/>
          <w:sz w:val="28"/>
          <w:szCs w:val="28"/>
          <w:rtl/>
        </w:rPr>
        <w:t>טיקוצקי</w:t>
      </w:r>
      <w:proofErr w:type="spellEnd"/>
      <w:r w:rsidRPr="00E45319">
        <w:rPr>
          <w:rFonts w:hint="cs"/>
          <w:b/>
          <w:bCs/>
          <w:color w:val="000000" w:themeColor="text1"/>
          <w:sz w:val="28"/>
          <w:szCs w:val="28"/>
          <w:rtl/>
        </w:rPr>
        <w:t>, עו"ד (רו"ח)</w:t>
      </w:r>
      <w:r w:rsidR="00E45319" w:rsidRPr="00E45319">
        <w:rPr>
          <w:rFonts w:hint="cs"/>
          <w:b/>
          <w:bCs/>
          <w:color w:val="000000" w:themeColor="text1"/>
          <w:sz w:val="28"/>
          <w:szCs w:val="28"/>
          <w:rtl/>
        </w:rPr>
        <w:t xml:space="preserve"> ; דני </w:t>
      </w:r>
      <w:proofErr w:type="spellStart"/>
      <w:r w:rsidR="00E45319" w:rsidRPr="00E45319">
        <w:rPr>
          <w:rFonts w:hint="cs"/>
          <w:b/>
          <w:bCs/>
          <w:color w:val="000000" w:themeColor="text1"/>
          <w:sz w:val="28"/>
          <w:szCs w:val="28"/>
          <w:rtl/>
        </w:rPr>
        <w:t>פריימן</w:t>
      </w:r>
      <w:proofErr w:type="spellEnd"/>
      <w:r w:rsidR="00E45319" w:rsidRPr="00E45319">
        <w:rPr>
          <w:rFonts w:hint="cs"/>
          <w:b/>
          <w:bCs/>
          <w:color w:val="000000" w:themeColor="text1"/>
          <w:sz w:val="28"/>
          <w:szCs w:val="28"/>
          <w:rtl/>
        </w:rPr>
        <w:t>, משפטן</w:t>
      </w:r>
    </w:p>
    <w:p w:rsidR="00E45319" w:rsidRPr="00E45319" w:rsidRDefault="00E45319" w:rsidP="00E45319">
      <w:pPr>
        <w:bidi/>
        <w:ind w:firstLine="26"/>
        <w:jc w:val="center"/>
        <w:rPr>
          <w:b/>
          <w:bCs/>
          <w:color w:val="000000" w:themeColor="text1"/>
          <w:sz w:val="28"/>
          <w:szCs w:val="28"/>
          <w:rtl/>
        </w:rPr>
      </w:pPr>
    </w:p>
    <w:p w:rsidR="00FC6EA0" w:rsidRPr="002D5621" w:rsidRDefault="00FC6EA0" w:rsidP="00FC6EA0">
      <w:pPr>
        <w:bidi/>
        <w:ind w:firstLine="26"/>
        <w:jc w:val="center"/>
        <w:rPr>
          <w:color w:val="000000" w:themeColor="text1"/>
          <w:rtl/>
        </w:rPr>
      </w:pPr>
    </w:p>
    <w:p w:rsidR="00E45319" w:rsidRDefault="00E45319" w:rsidP="00E45319">
      <w:pPr>
        <w:bidi/>
        <w:jc w:val="both"/>
        <w:rPr>
          <w:rFonts w:ascii="Arial" w:hAnsi="Arial"/>
          <w:rtl/>
        </w:rPr>
        <w:sectPr w:rsidR="00E45319">
          <w:type w:val="continuous"/>
          <w:pgSz w:w="11906" w:h="16838"/>
          <w:pgMar w:top="1079" w:right="1800" w:bottom="1258" w:left="1800" w:header="708" w:footer="708" w:gutter="0"/>
          <w:cols w:space="708"/>
          <w:titlePg/>
          <w:docGrid w:linePitch="360"/>
        </w:sectPr>
      </w:pPr>
    </w:p>
    <w:p w:rsidR="00E45319" w:rsidRDefault="00E45319" w:rsidP="00E45319">
      <w:pPr>
        <w:bidi/>
        <w:jc w:val="both"/>
        <w:rPr>
          <w:rFonts w:ascii="Arial" w:hAnsi="Arial"/>
          <w:rtl/>
        </w:rPr>
      </w:pPr>
      <w:r>
        <w:rPr>
          <w:rFonts w:ascii="Arial" w:hAnsi="Arial" w:hint="cs"/>
          <w:rtl/>
        </w:rPr>
        <w:lastRenderedPageBreak/>
        <w:t xml:space="preserve">במדינת ישראל קיימים נישומים רבים, המחזיקים בחשבונות בנק בחוץ לארץ שמעולם לא דווחו לרשות המסים. בתוך כך נזכור כי אי הדיווח אודות החזקת חשבון מחוץ לגבולות ישראל, לכשעצמו, מהווה </w:t>
      </w:r>
      <w:r>
        <w:rPr>
          <w:rFonts w:ascii="Arial" w:hAnsi="Arial" w:hint="cs"/>
          <w:u w:val="single"/>
          <w:rtl/>
        </w:rPr>
        <w:t>עבירה פלילית</w:t>
      </w:r>
      <w:r>
        <w:rPr>
          <w:rFonts w:ascii="Arial" w:hAnsi="Arial" w:hint="cs"/>
          <w:rtl/>
        </w:rPr>
        <w:t xml:space="preserve">. מטבע הדברים, חשבונות אלו עשויים להניב לנישומים הכנסה החייבת במס לרבות הכנסת ריבית, רווח הון הנובע מעסקאות בניירות ערך ומניות </w:t>
      </w:r>
      <w:proofErr w:type="spellStart"/>
      <w:r>
        <w:rPr>
          <w:rFonts w:ascii="Arial" w:hAnsi="Arial" w:hint="cs"/>
          <w:rtl/>
        </w:rPr>
        <w:t>וכיוצ"ב</w:t>
      </w:r>
      <w:proofErr w:type="spellEnd"/>
      <w:r>
        <w:rPr>
          <w:rFonts w:ascii="Arial" w:hAnsi="Arial" w:hint="cs"/>
          <w:rtl/>
        </w:rPr>
        <w:t xml:space="preserve">. קיימות מספר מדינות ברחבי העולם המעניקות חסיון בנקאי קשיח כגון שוויץ, מלטה, הולנד וכד' המאפשר, יחד עם תחולת המס הטריטוריאלי, הימנעות משמעותית בתשלום המס. אולם, כפי שיתואר להלן גישת מדינות העולם בכלל ובישראל בפרט השתנתה. בשנים האחרונות נחתמו מספר אמנות בינלאומיות (אשר ישראל שותפה להן) שערערו את מעמד </w:t>
      </w:r>
      <w:proofErr w:type="spellStart"/>
      <w:r>
        <w:rPr>
          <w:rFonts w:ascii="Arial" w:hAnsi="Arial" w:hint="cs"/>
          <w:rtl/>
        </w:rPr>
        <w:t>החסיון</w:t>
      </w:r>
      <w:proofErr w:type="spellEnd"/>
      <w:r>
        <w:rPr>
          <w:rFonts w:ascii="Arial" w:hAnsi="Arial" w:hint="cs"/>
          <w:rtl/>
        </w:rPr>
        <w:t xml:space="preserve"> הבנקאי במדינות. </w:t>
      </w:r>
    </w:p>
    <w:p w:rsidR="00E45319" w:rsidRDefault="00E45319" w:rsidP="00E45319">
      <w:pPr>
        <w:bidi/>
        <w:jc w:val="both"/>
        <w:rPr>
          <w:rFonts w:ascii="Arial" w:hAnsi="Arial"/>
          <w:rtl/>
        </w:rPr>
      </w:pPr>
      <w:r>
        <w:rPr>
          <w:rFonts w:ascii="Arial" w:hAnsi="Arial" w:hint="cs"/>
          <w:rtl/>
        </w:rPr>
        <w:t xml:space="preserve">וויתור על </w:t>
      </w:r>
      <w:proofErr w:type="spellStart"/>
      <w:r>
        <w:rPr>
          <w:rFonts w:ascii="Arial" w:hAnsi="Arial" w:hint="cs"/>
          <w:rtl/>
        </w:rPr>
        <w:t>החסיון</w:t>
      </w:r>
      <w:proofErr w:type="spellEnd"/>
      <w:r>
        <w:rPr>
          <w:rFonts w:ascii="Arial" w:hAnsi="Arial" w:hint="cs"/>
          <w:rtl/>
        </w:rPr>
        <w:t xml:space="preserve"> הבנקאי חושף את הנישום בפני חקירת רשות המסים אודות החשבון שלא דווח וההכנסות שנבעו ממנו. מס הכנסה נאבק בתופעת העלמת המס בדרכים שונות ומגוונות, סמויות וגלויות שבסופן נתפס, לרוב, הנישום ונפתחים כנגדו הליכים אזרחיים ופליליים בהתאם לחומרת העבירה. ברם, ניתן להקדים תרופה למכה. לנישום שביצע אי אלו עבירות מס (כפי שיתוארו להלן) וטרם נתפס קיים פתרון- הליך הגילוי מרצון.</w:t>
      </w:r>
    </w:p>
    <w:p w:rsidR="00E45319" w:rsidRDefault="00E45319" w:rsidP="00E45319">
      <w:pPr>
        <w:bidi/>
        <w:jc w:val="both"/>
        <w:rPr>
          <w:rtl/>
        </w:rPr>
      </w:pPr>
      <w:r>
        <w:rPr>
          <w:rFonts w:hint="cs"/>
          <w:rtl/>
        </w:rPr>
        <w:t xml:space="preserve">כחלק ממלחמתה של רשות המסים בעבירות המס השונות בישראל פרסמה הרשות בשנת 2005 את נובל "הגילוי מרצון" במסגרתו אפשרה היא לאפשר לתושבי ישראל (כתוצאה מתחולת המס הפרסונאלית והטריטוריאלית הנוהגת בישראל החל מ 1.1.03) לדווח מרצונם על עבירות מס שביצעו ובתמורה העניקה להם חסינות מפני הליכים פליליים. </w:t>
      </w:r>
    </w:p>
    <w:p w:rsidR="00E45319" w:rsidRDefault="00E45319" w:rsidP="00E45319">
      <w:pPr>
        <w:bidi/>
        <w:jc w:val="both"/>
        <w:rPr>
          <w:rtl/>
        </w:rPr>
      </w:pPr>
      <w:r>
        <w:rPr>
          <w:rFonts w:hint="cs"/>
          <w:rtl/>
        </w:rPr>
        <w:t xml:space="preserve">בשנת 2011 פרסמה הרשות הוראת שעה לגבי נוהל גילוי מרצון במסגרתו הוענקו לנישומים מספר הקלות בתחום הגבייה. הוראת שעה זו הסתיימה בסוף חודש ספטמבר 2012. </w:t>
      </w:r>
    </w:p>
    <w:p w:rsidR="00E45319" w:rsidRDefault="00E45319" w:rsidP="00E45319">
      <w:pPr>
        <w:bidi/>
        <w:jc w:val="both"/>
        <w:rPr>
          <w:rtl/>
        </w:rPr>
      </w:pPr>
      <w:r>
        <w:rPr>
          <w:rFonts w:hint="cs"/>
          <w:rtl/>
        </w:rPr>
        <w:t xml:space="preserve">העבירות המטופלות במסגרת הנוהל הנן </w:t>
      </w:r>
      <w:r>
        <w:rPr>
          <w:rtl/>
        </w:rPr>
        <w:t>השמטת הכנסות או נכסים</w:t>
      </w:r>
      <w:r>
        <w:rPr>
          <w:rFonts w:hint="cs"/>
          <w:rtl/>
        </w:rPr>
        <w:t>,</w:t>
      </w:r>
      <w:r>
        <w:rPr>
          <w:rtl/>
        </w:rPr>
        <w:t xml:space="preserve"> ניהול ספרים כוזבים</w:t>
      </w:r>
      <w:r>
        <w:rPr>
          <w:rFonts w:hint="cs"/>
          <w:rtl/>
        </w:rPr>
        <w:t xml:space="preserve">, </w:t>
      </w:r>
      <w:r>
        <w:rPr>
          <w:rtl/>
        </w:rPr>
        <w:t>התחמקות ממס מעסקים ועסקאות בארץ ובחו</w:t>
      </w:r>
      <w:r>
        <w:rPr>
          <w:rFonts w:hint="cs"/>
          <w:rtl/>
        </w:rPr>
        <w:t>"</w:t>
      </w:r>
      <w:r>
        <w:rPr>
          <w:rtl/>
        </w:rPr>
        <w:t>ל ועבירות בקשר ליבוא ויצ</w:t>
      </w:r>
      <w:r>
        <w:rPr>
          <w:rFonts w:hint="cs"/>
          <w:rtl/>
        </w:rPr>
        <w:t>וא. יובהר, כי הליך הגילוי מרצון אינו חל על עבירות בסיסיות כגון אי הגשת דוחות.</w:t>
      </w:r>
    </w:p>
    <w:p w:rsidR="00E45319" w:rsidRDefault="00E45319" w:rsidP="00E45319">
      <w:pPr>
        <w:bidi/>
        <w:jc w:val="both"/>
        <w:rPr>
          <w:rtl/>
        </w:rPr>
      </w:pPr>
      <w:r>
        <w:rPr>
          <w:rFonts w:hint="cs"/>
          <w:rtl/>
        </w:rPr>
        <w:t xml:space="preserve">על מנת שההליך יחול בעניינו של הנישום עליו לעמוד במספר תנאים כדלקמן: </w:t>
      </w:r>
    </w:p>
    <w:p w:rsidR="00E45319" w:rsidRDefault="00E45319" w:rsidP="00E45319">
      <w:pPr>
        <w:numPr>
          <w:ilvl w:val="0"/>
          <w:numId w:val="10"/>
        </w:numPr>
        <w:bidi/>
        <w:jc w:val="both"/>
      </w:pPr>
      <w:r>
        <w:rPr>
          <w:rFonts w:hint="cs"/>
          <w:rtl/>
        </w:rPr>
        <w:t xml:space="preserve">הפנייה לרשות המסים חייבת להיות כנה, מלאה ונאותה ולא בעקבות חקירה שמתקיימת נגד הנישום. </w:t>
      </w:r>
    </w:p>
    <w:p w:rsidR="00E45319" w:rsidRDefault="00E45319" w:rsidP="00E45319">
      <w:pPr>
        <w:numPr>
          <w:ilvl w:val="0"/>
          <w:numId w:val="10"/>
        </w:numPr>
        <w:bidi/>
        <w:jc w:val="both"/>
      </w:pPr>
      <w:r>
        <w:rPr>
          <w:rFonts w:hint="cs"/>
          <w:rtl/>
        </w:rPr>
        <w:lastRenderedPageBreak/>
        <w:t xml:space="preserve">לרשות המסים ו/או לכל רשות שלטונית אחרת לא היה מידע קודם הקשור למידע שנמסר במהלך הגילוי, לרבות מידע אודות חברות קשורות או שותף. </w:t>
      </w:r>
    </w:p>
    <w:p w:rsidR="00E45319" w:rsidRDefault="00E45319" w:rsidP="00E45319">
      <w:pPr>
        <w:numPr>
          <w:ilvl w:val="0"/>
          <w:numId w:val="10"/>
        </w:numPr>
        <w:bidi/>
        <w:jc w:val="both"/>
      </w:pPr>
      <w:r>
        <w:rPr>
          <w:rFonts w:hint="cs"/>
          <w:rtl/>
        </w:rPr>
        <w:t xml:space="preserve">הרשות לא החלה בבחינה גם במישור האזרחי בעניין תיקים שקשורים לנישום. </w:t>
      </w:r>
    </w:p>
    <w:p w:rsidR="00E45319" w:rsidRDefault="00E45319" w:rsidP="00E45319">
      <w:pPr>
        <w:numPr>
          <w:ilvl w:val="0"/>
          <w:numId w:val="10"/>
        </w:numPr>
        <w:bidi/>
        <w:jc w:val="both"/>
      </w:pPr>
      <w:r>
        <w:rPr>
          <w:rFonts w:hint="cs"/>
          <w:rtl/>
        </w:rPr>
        <w:t xml:space="preserve">המידע שנמסר לא כלול באף הליך, תביעה או כתב אישום המתנהל בבית המשפט. </w:t>
      </w:r>
    </w:p>
    <w:p w:rsidR="00E45319" w:rsidRDefault="00E45319" w:rsidP="00E45319">
      <w:pPr>
        <w:numPr>
          <w:ilvl w:val="0"/>
          <w:numId w:val="10"/>
        </w:numPr>
        <w:bidi/>
        <w:jc w:val="both"/>
        <w:rPr>
          <w:rtl/>
        </w:rPr>
      </w:pPr>
      <w:r>
        <w:rPr>
          <w:rFonts w:hint="cs"/>
          <w:rtl/>
        </w:rPr>
        <w:t xml:space="preserve">תשלום המס יהיה תוך פרק זמן קצוב מראש על-ידי הרשות. </w:t>
      </w:r>
    </w:p>
    <w:p w:rsidR="00E45319" w:rsidRDefault="00E45319" w:rsidP="00E45319">
      <w:pPr>
        <w:bidi/>
        <w:jc w:val="both"/>
        <w:rPr>
          <w:rtl/>
        </w:rPr>
      </w:pPr>
      <w:r>
        <w:rPr>
          <w:rFonts w:hint="cs"/>
          <w:rtl/>
        </w:rPr>
        <w:t xml:space="preserve">אז מה היתרון בגילוי מרצון? הטעם לכך הוא כפול. בפן המוסרי, בכל אזרח מקוננת התחושה שעליו לשלם עבור השירותים שמקבל הוא מהמדינה לרבות ביטחון, חינוך, תשתיות וכד'. תחושה זו מתחדדת לקראת הצום הממשמש ובא ומחדדת את תחושת הסולידריות להשתתף בנטל הלאומי. בפן הכלכלי-פלילי-תועלתני, הנישום נמצא במרוץ מול רשות המסים בדבר חשיפת עבירותיו. שכן, נישום שייתפס על-ידי הרשות בטרם גילה מרצון עבירותיו צפוי לעמוד בפני הליכים פליליים, העשויים לגרור אחריהם עיצומים כספיים כבדים ואף עונש מאסר. לעומת זאת, נקיטה בהליך של גילוי מרצון יעביר את הטיפול להליך האזרחי, זאת כל עוד לא הופרו התנאים המקדימים שפורטו לעיל. </w:t>
      </w:r>
    </w:p>
    <w:p w:rsidR="00E45319" w:rsidRDefault="00E45319" w:rsidP="00E45319">
      <w:pPr>
        <w:bidi/>
        <w:jc w:val="both"/>
        <w:rPr>
          <w:rtl/>
        </w:rPr>
      </w:pPr>
      <w:r>
        <w:rPr>
          <w:rFonts w:hint="cs"/>
          <w:rtl/>
        </w:rPr>
        <w:t>יודגש, כי היקף החסינות יהיה רק לגבי המידע שנמסר לרשות המסים במסגרת הליך הגילוי מרצון.</w:t>
      </w:r>
    </w:p>
    <w:p w:rsidR="00E45319" w:rsidRDefault="00E45319" w:rsidP="00E45319">
      <w:pPr>
        <w:bidi/>
        <w:jc w:val="both"/>
        <w:rPr>
          <w:rtl/>
        </w:rPr>
      </w:pPr>
      <w:r>
        <w:rPr>
          <w:rFonts w:hint="cs"/>
          <w:rtl/>
        </w:rPr>
        <w:t>המקרים הנפוצים המטופלים במסגרת ההליך הנם הכנסות של תושבי ישראל מנכסים הממוקמים בחו"ל, הכנסות החייבות בדיווח ובמס בישראל בשל שיטת המס הפרסונאלית הקיימת בישראל. אין באמור לעיל, בכדי לגרוע בתחולת הנוהל על "כספים שחורים" שהופקו בתוך שטח מדינת ישאל.</w:t>
      </w:r>
    </w:p>
    <w:p w:rsidR="00E45319" w:rsidRDefault="00E45319" w:rsidP="00E45319">
      <w:pPr>
        <w:bidi/>
        <w:jc w:val="both"/>
        <w:rPr>
          <w:rtl/>
        </w:rPr>
      </w:pPr>
      <w:r>
        <w:rPr>
          <w:rFonts w:hint="cs"/>
          <w:rtl/>
        </w:rPr>
        <w:t xml:space="preserve">נישום, לרבות בעל תפקיד בתאגיד, מיופה כוח או כל אדם אחר </w:t>
      </w:r>
      <w:proofErr w:type="spellStart"/>
      <w:r>
        <w:rPr>
          <w:rFonts w:hint="cs"/>
          <w:rtl/>
        </w:rPr>
        <w:t>המעונין</w:t>
      </w:r>
      <w:proofErr w:type="spellEnd"/>
      <w:r>
        <w:rPr>
          <w:rFonts w:hint="cs"/>
          <w:rtl/>
        </w:rPr>
        <w:t xml:space="preserve"> ליהנות מיתרונות ההליך נדרש לפנות לסמנכ"ל </w:t>
      </w:r>
      <w:r>
        <w:rPr>
          <w:rFonts w:hint="eastAsia"/>
          <w:rtl/>
        </w:rPr>
        <w:t>בכיר</w:t>
      </w:r>
      <w:r>
        <w:rPr>
          <w:rtl/>
        </w:rPr>
        <w:t xml:space="preserve"> </w:t>
      </w:r>
      <w:r>
        <w:rPr>
          <w:rFonts w:hint="eastAsia"/>
          <w:rtl/>
        </w:rPr>
        <w:t>לחקירות</w:t>
      </w:r>
      <w:r>
        <w:rPr>
          <w:rtl/>
        </w:rPr>
        <w:t xml:space="preserve"> </w:t>
      </w:r>
      <w:r>
        <w:rPr>
          <w:rFonts w:hint="eastAsia"/>
          <w:rtl/>
        </w:rPr>
        <w:t>של</w:t>
      </w:r>
      <w:r>
        <w:rPr>
          <w:rtl/>
        </w:rPr>
        <w:t xml:space="preserve"> </w:t>
      </w:r>
      <w:r>
        <w:rPr>
          <w:rFonts w:hint="eastAsia"/>
          <w:rtl/>
        </w:rPr>
        <w:t>הרשות</w:t>
      </w:r>
      <w:r>
        <w:rPr>
          <w:rtl/>
        </w:rPr>
        <w:t xml:space="preserve"> </w:t>
      </w:r>
      <w:r>
        <w:rPr>
          <w:rFonts w:hint="eastAsia"/>
          <w:rtl/>
        </w:rPr>
        <w:t>למסים</w:t>
      </w:r>
      <w:r>
        <w:rPr>
          <w:rtl/>
        </w:rPr>
        <w:t xml:space="preserve">, </w:t>
      </w:r>
      <w:r>
        <w:rPr>
          <w:rFonts w:hint="eastAsia"/>
          <w:rtl/>
        </w:rPr>
        <w:t>ו</w:t>
      </w:r>
      <w:r>
        <w:rPr>
          <w:rFonts w:hint="cs"/>
          <w:rtl/>
        </w:rPr>
        <w:t>ל</w:t>
      </w:r>
      <w:r>
        <w:rPr>
          <w:rFonts w:hint="eastAsia"/>
          <w:rtl/>
        </w:rPr>
        <w:t>פרט</w:t>
      </w:r>
      <w:r>
        <w:rPr>
          <w:rtl/>
        </w:rPr>
        <w:t xml:space="preserve"> </w:t>
      </w:r>
      <w:r>
        <w:rPr>
          <w:rFonts w:hint="eastAsia"/>
          <w:rtl/>
        </w:rPr>
        <w:t>את</w:t>
      </w:r>
      <w:r>
        <w:rPr>
          <w:rtl/>
        </w:rPr>
        <w:t xml:space="preserve"> </w:t>
      </w:r>
      <w:r>
        <w:rPr>
          <w:rFonts w:hint="eastAsia"/>
          <w:rtl/>
        </w:rPr>
        <w:t>שמות</w:t>
      </w:r>
      <w:r>
        <w:rPr>
          <w:rtl/>
        </w:rPr>
        <w:t xml:space="preserve"> </w:t>
      </w:r>
      <w:r>
        <w:rPr>
          <w:rFonts w:hint="eastAsia"/>
          <w:rtl/>
        </w:rPr>
        <w:t>המבקשים</w:t>
      </w:r>
      <w:r>
        <w:rPr>
          <w:rtl/>
        </w:rPr>
        <w:t xml:space="preserve"> </w:t>
      </w:r>
      <w:r>
        <w:rPr>
          <w:rFonts w:hint="eastAsia"/>
          <w:rtl/>
        </w:rPr>
        <w:t>ותוכן</w:t>
      </w:r>
      <w:r>
        <w:rPr>
          <w:rtl/>
        </w:rPr>
        <w:t xml:space="preserve"> </w:t>
      </w:r>
      <w:r>
        <w:rPr>
          <w:rFonts w:hint="eastAsia"/>
          <w:rtl/>
        </w:rPr>
        <w:t>הגילוי</w:t>
      </w:r>
      <w:r>
        <w:rPr>
          <w:rtl/>
        </w:rPr>
        <w:t xml:space="preserve"> </w:t>
      </w:r>
      <w:r>
        <w:rPr>
          <w:rFonts w:hint="eastAsia"/>
          <w:rtl/>
        </w:rPr>
        <w:t>מרצון</w:t>
      </w:r>
      <w:r>
        <w:rPr>
          <w:rFonts w:hint="cs"/>
          <w:rtl/>
        </w:rPr>
        <w:t>,</w:t>
      </w:r>
      <w:r>
        <w:rPr>
          <w:rtl/>
        </w:rPr>
        <w:t xml:space="preserve"> </w:t>
      </w:r>
      <w:r>
        <w:rPr>
          <w:rFonts w:hint="eastAsia"/>
          <w:rtl/>
        </w:rPr>
        <w:t>לרבות</w:t>
      </w:r>
      <w:r>
        <w:rPr>
          <w:rtl/>
        </w:rPr>
        <w:t xml:space="preserve"> </w:t>
      </w:r>
      <w:r>
        <w:rPr>
          <w:rFonts w:hint="eastAsia"/>
          <w:rtl/>
        </w:rPr>
        <w:t>אומדן</w:t>
      </w:r>
      <w:r>
        <w:rPr>
          <w:rtl/>
        </w:rPr>
        <w:t xml:space="preserve"> </w:t>
      </w:r>
      <w:r>
        <w:rPr>
          <w:rFonts w:hint="eastAsia"/>
          <w:rtl/>
        </w:rPr>
        <w:t>לגבי</w:t>
      </w:r>
      <w:r>
        <w:rPr>
          <w:rtl/>
        </w:rPr>
        <w:t xml:space="preserve"> </w:t>
      </w:r>
      <w:r>
        <w:rPr>
          <w:rFonts w:hint="eastAsia"/>
          <w:rtl/>
        </w:rPr>
        <w:t>אובדן</w:t>
      </w:r>
      <w:r>
        <w:rPr>
          <w:rtl/>
        </w:rPr>
        <w:t xml:space="preserve"> </w:t>
      </w:r>
      <w:r>
        <w:rPr>
          <w:rFonts w:hint="eastAsia"/>
          <w:rtl/>
        </w:rPr>
        <w:t>המס</w:t>
      </w:r>
      <w:r>
        <w:rPr>
          <w:rtl/>
        </w:rPr>
        <w:t>.</w:t>
      </w:r>
      <w:r>
        <w:rPr>
          <w:rFonts w:hint="cs"/>
          <w:rtl/>
        </w:rPr>
        <w:t xml:space="preserve"> על הפונה יהיה להגיש הצהרת </w:t>
      </w:r>
      <w:r>
        <w:rPr>
          <w:rFonts w:hint="cs"/>
          <w:u w:val="single"/>
          <w:rtl/>
        </w:rPr>
        <w:t>אמת</w:t>
      </w:r>
      <w:r>
        <w:rPr>
          <w:rFonts w:hint="cs"/>
          <w:rtl/>
        </w:rPr>
        <w:t xml:space="preserve"> ולתקן את המחדל, רוצה לומר, לשלם את מלוא המס.</w:t>
      </w:r>
    </w:p>
    <w:p w:rsidR="00E45319" w:rsidRDefault="00E45319" w:rsidP="00E45319">
      <w:pPr>
        <w:bidi/>
        <w:jc w:val="both"/>
        <w:rPr>
          <w:rtl/>
        </w:rPr>
      </w:pPr>
      <w:r>
        <w:rPr>
          <w:rFonts w:hint="cs"/>
          <w:rtl/>
        </w:rPr>
        <w:t xml:space="preserve">על אף יתרונות ההליך, הוא אינו חף מפגמים. ראשית, התנאים המקדמיים שפורטו, חרף היותם מובנים לכאורה, אינם פשוטים כלל ועיקר ודורשים בדיקה מעמיקה. אי עמידה </w:t>
      </w:r>
      <w:r>
        <w:rPr>
          <w:rFonts w:hint="cs"/>
          <w:rtl/>
        </w:rPr>
        <w:lastRenderedPageBreak/>
        <w:t xml:space="preserve">בהם תגרור דחיית הבקשה ותאפשר לרשות לפתוח כנגד הנישום בהליכים פליליים ואזרחיים. שנית, לעתים המגלה מרצון אינו ה"עבריין" בפועל ולכן אין ברשותו את כל המידע הנדרש למסירת הצהרת אמת. שלישית, הפניה עשויה לגרור פתיחת שומות קודמות ולגרור הליכים נוספים, לרבות הגדלת היקף המס הנדרש. </w:t>
      </w:r>
    </w:p>
    <w:p w:rsidR="00E45319" w:rsidRDefault="00E45319" w:rsidP="00E45319">
      <w:pPr>
        <w:bidi/>
        <w:jc w:val="both"/>
        <w:rPr>
          <w:sz w:val="28"/>
          <w:szCs w:val="28"/>
        </w:rPr>
      </w:pPr>
      <w:r>
        <w:rPr>
          <w:rFonts w:hint="cs"/>
          <w:rtl/>
        </w:rPr>
        <w:t xml:space="preserve">בטרם הגשת בקשה לגילוי מרצון, המלצתנו להיוועץ בעורך דין המתמחה בנושא שכן מדובר בהליך סבוך. בדיקה של גורם מומחה </w:t>
      </w:r>
      <w:r>
        <w:rPr>
          <w:rFonts w:hint="cs"/>
          <w:rtl/>
        </w:rPr>
        <w:lastRenderedPageBreak/>
        <w:t>בתחום תקטין את הסיכון משמעותית לתחולת אחד מסייגי ההליך בעניינו של הנישום, זאת באמצעות בדיקה מקיפה ומקצועית של מלוא נתוניו של הנישום. לא זו אף זו, ככל שמדובר בהכנסה שהופקה מחוץ לישראל, הרי שיש להתייעץ עם עורך דין המתמחה במיסוי בינלאומי ובאמנות למניעת כפל מס עליהן חתומה מדינת ישראל, זאת לצורך סיווג הכנסתו של הנישום וזכאותו לקבלת זיכויים ממס זר ששולם בחו"ל.</w:t>
      </w:r>
    </w:p>
    <w:p w:rsidR="00E45319" w:rsidRDefault="00E45319" w:rsidP="00E45319">
      <w:pPr>
        <w:bidi/>
        <w:spacing w:line="360" w:lineRule="auto"/>
        <w:jc w:val="both"/>
        <w:rPr>
          <w:rtl/>
        </w:rPr>
        <w:sectPr w:rsidR="00E45319" w:rsidSect="00E45319">
          <w:type w:val="continuous"/>
          <w:pgSz w:w="11906" w:h="16838"/>
          <w:pgMar w:top="1079" w:right="1800" w:bottom="1258" w:left="1800" w:header="708" w:footer="708" w:gutter="0"/>
          <w:cols w:num="2" w:space="709"/>
          <w:titlePg/>
          <w:bidi/>
          <w:docGrid w:linePitch="360"/>
        </w:sectPr>
      </w:pPr>
    </w:p>
    <w:p w:rsidR="00E45319" w:rsidRDefault="00E45319" w:rsidP="00E45319">
      <w:pPr>
        <w:bidi/>
        <w:spacing w:line="360" w:lineRule="auto"/>
        <w:jc w:val="both"/>
      </w:pPr>
    </w:p>
    <w:p w:rsidR="00FC6EA0" w:rsidRPr="002D5621" w:rsidRDefault="00FC6EA0" w:rsidP="00FC6EA0">
      <w:pPr>
        <w:bidi/>
        <w:jc w:val="center"/>
        <w:rPr>
          <w:b/>
          <w:bCs/>
          <w:color w:val="000000" w:themeColor="text1"/>
          <w:sz w:val="32"/>
          <w:szCs w:val="32"/>
          <w:u w:val="single"/>
          <w:rtl/>
        </w:rPr>
      </w:pPr>
      <w:r w:rsidRPr="002D5621">
        <w:rPr>
          <w:rFonts w:hint="cs"/>
          <w:b/>
          <w:bCs/>
          <w:color w:val="000000" w:themeColor="text1"/>
          <w:sz w:val="32"/>
          <w:szCs w:val="32"/>
          <w:u w:val="single"/>
          <w:rtl/>
        </w:rPr>
        <w:t xml:space="preserve">מהפכה במיסוי דירות מגורים להשקעה </w:t>
      </w:r>
    </w:p>
    <w:p w:rsidR="004C7E07" w:rsidRPr="002D5621" w:rsidRDefault="004C7E07" w:rsidP="004C7E07">
      <w:pPr>
        <w:bidi/>
        <w:jc w:val="center"/>
        <w:rPr>
          <w:b/>
          <w:bCs/>
          <w:color w:val="000000" w:themeColor="text1"/>
          <w:sz w:val="28"/>
          <w:szCs w:val="28"/>
          <w:rtl/>
        </w:rPr>
      </w:pPr>
      <w:r w:rsidRPr="002D5621">
        <w:rPr>
          <w:rFonts w:hint="cs"/>
          <w:b/>
          <w:bCs/>
          <w:color w:val="000000" w:themeColor="text1"/>
          <w:sz w:val="28"/>
          <w:szCs w:val="28"/>
          <w:rtl/>
        </w:rPr>
        <w:t>רמי אריה, עו"ד (רו"ח)</w:t>
      </w:r>
    </w:p>
    <w:p w:rsidR="00FC6EA0" w:rsidRPr="002D5621" w:rsidRDefault="00FC6EA0" w:rsidP="00FC6EA0">
      <w:pPr>
        <w:bidi/>
        <w:jc w:val="center"/>
        <w:rPr>
          <w:b/>
          <w:bCs/>
          <w:color w:val="000000" w:themeColor="text1"/>
          <w:sz w:val="28"/>
          <w:szCs w:val="28"/>
          <w:rtl/>
        </w:rPr>
      </w:pPr>
    </w:p>
    <w:p w:rsidR="002D5621" w:rsidRDefault="002D5621" w:rsidP="00FC6EA0">
      <w:pPr>
        <w:bidi/>
        <w:jc w:val="both"/>
        <w:rPr>
          <w:color w:val="000000" w:themeColor="text1"/>
          <w:rtl/>
        </w:rPr>
        <w:sectPr w:rsidR="002D5621">
          <w:type w:val="continuous"/>
          <w:pgSz w:w="11906" w:h="16838"/>
          <w:pgMar w:top="1079" w:right="1800" w:bottom="1258" w:left="1800" w:header="708" w:footer="708" w:gutter="0"/>
          <w:cols w:space="708"/>
          <w:titlePg/>
          <w:docGrid w:linePitch="360"/>
        </w:sectPr>
      </w:pPr>
    </w:p>
    <w:p w:rsidR="00FC6EA0" w:rsidRPr="002D5621" w:rsidRDefault="00FC6EA0" w:rsidP="00FC6EA0">
      <w:pPr>
        <w:bidi/>
        <w:jc w:val="both"/>
        <w:rPr>
          <w:color w:val="000000" w:themeColor="text1"/>
          <w:rtl/>
        </w:rPr>
      </w:pPr>
      <w:r w:rsidRPr="002D5621">
        <w:rPr>
          <w:rFonts w:hint="cs"/>
          <w:color w:val="000000" w:themeColor="text1"/>
          <w:rtl/>
        </w:rPr>
        <w:lastRenderedPageBreak/>
        <w:t xml:space="preserve">משקיעים בדירות מגורים המחזיקים יותר מדירה אחת, חייבים לקחת בחשבון, כי החל מיום 1.8.2013 נכנס לתוקפו תיקון 76 לחוק מיסוי מקרקעין המהווה מהפכה של ממש במיסוי רכישה ומכירה של דירות מגורים. למעשה, מדובר בהטלת מס שבח גורף בשיעור של 25% על רווחים ריאליים מהשקעות בדירות מגורים, כמו המס המוטל על השקעות הוניות אחרות בישראל ואף יותר מכך. </w:t>
      </w:r>
    </w:p>
    <w:p w:rsidR="00FC6EA0" w:rsidRPr="002D5621" w:rsidRDefault="00FC6EA0" w:rsidP="00FC6EA0">
      <w:pPr>
        <w:bidi/>
        <w:jc w:val="both"/>
        <w:rPr>
          <w:color w:val="000000" w:themeColor="text1"/>
          <w:rtl/>
        </w:rPr>
      </w:pPr>
      <w:r w:rsidRPr="002D5621">
        <w:rPr>
          <w:rFonts w:hint="cs"/>
          <w:color w:val="000000" w:themeColor="text1"/>
          <w:rtl/>
        </w:rPr>
        <w:t xml:space="preserve">המס יוטל החל מיום 1.1.2014 על כל מכירה של דירה אשר לבעליה דירה נוספת, ללא קשר לשווי הדירה, לניצול פטורים בעבר, ואף לעובדה כי ייתכן ומדובר בדירת המגורים האישית של המוכר וכל שאר דירותיו הנוספות הן בשווי נמוך. לכן, כדאי למשקיעים להיערך מראש </w:t>
      </w:r>
      <w:proofErr w:type="spellStart"/>
      <w:r w:rsidRPr="002D5621">
        <w:rPr>
          <w:rFonts w:hint="cs"/>
          <w:color w:val="000000" w:themeColor="text1"/>
          <w:rtl/>
        </w:rPr>
        <w:t>ומייד</w:t>
      </w:r>
      <w:proofErr w:type="spellEnd"/>
      <w:r w:rsidRPr="002D5621">
        <w:rPr>
          <w:rFonts w:hint="cs"/>
          <w:color w:val="000000" w:themeColor="text1"/>
          <w:rtl/>
        </w:rPr>
        <w:t xml:space="preserve"> כדי להביא למינימום את המס שיחול על דירות ההשקעה שלהם כמו גם על מכר דירת המגורים שבה הם מתגוררים בפועל בעת מכירתם בעתיד. </w:t>
      </w:r>
    </w:p>
    <w:p w:rsidR="00FC6EA0" w:rsidRPr="002D5621" w:rsidRDefault="00FC6EA0" w:rsidP="00FC6EA0">
      <w:pPr>
        <w:bidi/>
        <w:jc w:val="both"/>
        <w:rPr>
          <w:color w:val="000000" w:themeColor="text1"/>
          <w:rtl/>
        </w:rPr>
      </w:pPr>
      <w:r w:rsidRPr="002D5621">
        <w:rPr>
          <w:rFonts w:hint="cs"/>
          <w:color w:val="000000" w:themeColor="text1"/>
          <w:rtl/>
        </w:rPr>
        <w:t>על קצה המזלג, יובאו להלן העקרונות הבסיסיים לפיהם הוגדל שיעור מס הרכישה מיום 1.8.2013, ויוטל מס שבח על שוק הדירות להשקעה מיום 1.1.2014 ואילך, כדלקמן:</w:t>
      </w:r>
    </w:p>
    <w:p w:rsidR="00FC6EA0" w:rsidRPr="002D5621" w:rsidRDefault="00FC6EA0" w:rsidP="00FC6EA0">
      <w:pPr>
        <w:tabs>
          <w:tab w:val="left" w:pos="891"/>
        </w:tabs>
        <w:bidi/>
        <w:jc w:val="both"/>
        <w:rPr>
          <w:color w:val="000000" w:themeColor="text1"/>
          <w:rtl/>
        </w:rPr>
      </w:pPr>
      <w:r w:rsidRPr="002D5621">
        <w:rPr>
          <w:rFonts w:hint="cs"/>
          <w:b/>
          <w:bCs/>
          <w:color w:val="000000" w:themeColor="text1"/>
          <w:u w:val="single"/>
          <w:rtl/>
        </w:rPr>
        <w:t xml:space="preserve">שינוים בחיוב מס רכישה </w:t>
      </w:r>
    </w:p>
    <w:p w:rsidR="00FC6EA0" w:rsidRPr="002D5621" w:rsidRDefault="00FC6EA0" w:rsidP="00FC6EA0">
      <w:pPr>
        <w:numPr>
          <w:ilvl w:val="0"/>
          <w:numId w:val="7"/>
        </w:numPr>
        <w:tabs>
          <w:tab w:val="left" w:pos="509"/>
        </w:tabs>
        <w:bidi/>
        <w:ind w:left="0" w:firstLine="0"/>
        <w:jc w:val="both"/>
        <w:rPr>
          <w:color w:val="000000" w:themeColor="text1"/>
        </w:rPr>
      </w:pPr>
      <w:r w:rsidRPr="002D5621">
        <w:rPr>
          <w:rFonts w:hint="cs"/>
          <w:b/>
          <w:bCs/>
          <w:color w:val="000000" w:themeColor="text1"/>
          <w:u w:val="single"/>
          <w:rtl/>
        </w:rPr>
        <w:t>שיעור מס רכישה הוגדל ל- 6% משווי הרכישה</w:t>
      </w:r>
      <w:r w:rsidRPr="002D5621">
        <w:rPr>
          <w:rFonts w:hint="cs"/>
          <w:color w:val="000000" w:themeColor="text1"/>
          <w:rtl/>
        </w:rPr>
        <w:t xml:space="preserve">, למעט, ברכישת בניין או דירת מגורים. שיעור מס הרכישה יישאר 5% רק כאשר לזכות הנרכשת יש </w:t>
      </w:r>
      <w:proofErr w:type="spellStart"/>
      <w:r w:rsidRPr="002D5621">
        <w:rPr>
          <w:rFonts w:hint="cs"/>
          <w:color w:val="000000" w:themeColor="text1"/>
          <w:rtl/>
        </w:rPr>
        <w:t>תב"ע</w:t>
      </w:r>
      <w:proofErr w:type="spellEnd"/>
      <w:r w:rsidRPr="002D5621">
        <w:rPr>
          <w:rFonts w:hint="cs"/>
          <w:color w:val="000000" w:themeColor="text1"/>
          <w:rtl/>
        </w:rPr>
        <w:t xml:space="preserve"> המתירה בנייה של דירה אחת לפחות עליה והתקבל היתר בנייה לבניית הדירה תוך 24 חודש מיום הרכישה ולמעט כאשר מס הרכישה מותר לניכוי לפי פקודת מס הכנסה (קבלנים וסוחרי מקרקעין) וחריגים אחרים הקבועים בתקנות.</w:t>
      </w:r>
    </w:p>
    <w:p w:rsidR="00FC6EA0" w:rsidRPr="002D5621" w:rsidRDefault="00FC6EA0" w:rsidP="00FC6EA0">
      <w:pPr>
        <w:tabs>
          <w:tab w:val="left" w:pos="891"/>
        </w:tabs>
        <w:bidi/>
        <w:jc w:val="both"/>
        <w:rPr>
          <w:color w:val="000000" w:themeColor="text1"/>
        </w:rPr>
      </w:pPr>
      <w:r w:rsidRPr="002D5621">
        <w:rPr>
          <w:rFonts w:hint="cs"/>
          <w:b/>
          <w:bCs/>
          <w:color w:val="000000" w:themeColor="text1"/>
          <w:u w:val="single"/>
          <w:rtl/>
        </w:rPr>
        <w:t>לעניין זה,</w:t>
      </w:r>
      <w:r w:rsidRPr="002D5621">
        <w:rPr>
          <w:rFonts w:hint="cs"/>
          <w:color w:val="000000" w:themeColor="text1"/>
          <w:rtl/>
        </w:rPr>
        <w:t xml:space="preserve"> ייתכן וכדאי לקנות דירות שלא יושלמו ולא יהיו ראויות למגורים עדיין, כדי לשלם מס רכישה נמוך יותר מאשר זה שישולם בגין דירה נוספת.  </w:t>
      </w:r>
    </w:p>
    <w:p w:rsidR="00FC6EA0" w:rsidRPr="002D5621" w:rsidRDefault="00FC6EA0" w:rsidP="00FC6EA0">
      <w:pPr>
        <w:numPr>
          <w:ilvl w:val="0"/>
          <w:numId w:val="7"/>
        </w:numPr>
        <w:tabs>
          <w:tab w:val="left" w:pos="509"/>
        </w:tabs>
        <w:bidi/>
        <w:ind w:left="0" w:firstLine="0"/>
        <w:jc w:val="both"/>
        <w:rPr>
          <w:color w:val="000000" w:themeColor="text1"/>
        </w:rPr>
      </w:pPr>
      <w:r w:rsidRPr="002D5621">
        <w:rPr>
          <w:rFonts w:hint="cs"/>
          <w:b/>
          <w:bCs/>
          <w:color w:val="000000" w:themeColor="text1"/>
          <w:u w:val="single"/>
          <w:rtl/>
        </w:rPr>
        <w:t>אבחנה בין "תושב ישראל" ל-"תושב חוץ",</w:t>
      </w:r>
      <w:r w:rsidRPr="002D5621">
        <w:rPr>
          <w:rFonts w:hint="cs"/>
          <w:color w:val="000000" w:themeColor="text1"/>
          <w:rtl/>
        </w:rPr>
        <w:t xml:space="preserve"> נקבעה בסעיף 1 לחוק, כהגדרתם </w:t>
      </w:r>
      <w:r w:rsidRPr="002D5621">
        <w:rPr>
          <w:rFonts w:hint="cs"/>
          <w:color w:val="000000" w:themeColor="text1"/>
          <w:rtl/>
        </w:rPr>
        <w:lastRenderedPageBreak/>
        <w:t>בפקודת מס הכנסה. מעתה, רק "תושב ישראל" יהיה זכאי להקלות במס רכישה בעת רכישת דירה יחידה ולהקלות בפטור ממס שבח בעת מכירת דירה יחידה. בכפוף לחריגים שיצוינו בהמשך, "תושב חוץ" לא יהיה זכאי להקלות במס רכישה ולפטורים ממס שבח הקבועים בחוק.</w:t>
      </w:r>
    </w:p>
    <w:p w:rsidR="00FC6EA0" w:rsidRPr="002D5621" w:rsidRDefault="00FC6EA0" w:rsidP="00FC6EA0">
      <w:pPr>
        <w:tabs>
          <w:tab w:val="left" w:pos="891"/>
        </w:tabs>
        <w:bidi/>
        <w:jc w:val="both"/>
        <w:rPr>
          <w:color w:val="000000" w:themeColor="text1"/>
        </w:rPr>
      </w:pPr>
      <w:r w:rsidRPr="002D5621">
        <w:rPr>
          <w:rFonts w:hint="cs"/>
          <w:b/>
          <w:bCs/>
          <w:color w:val="000000" w:themeColor="text1"/>
          <w:u w:val="single"/>
          <w:rtl/>
        </w:rPr>
        <w:t>לעניין מס רכישה,</w:t>
      </w:r>
      <w:r w:rsidRPr="002D5621">
        <w:rPr>
          <w:rFonts w:hint="cs"/>
          <w:color w:val="000000" w:themeColor="text1"/>
          <w:rtl/>
        </w:rPr>
        <w:t xml:space="preserve"> אין חשיבות לאזרחות או לשאלה האם ל-"תושב החוץ" אין דירות גם בחו"ל. אך למעמד התושבות יש נפקות לעניין החיוב במס הכנסה, בביטוח לאומי וביטוח בריאות שיש לבחנם בכל מקרה לגופו. לכן, אסור להיחפז בבקשה להיחשב כ-"תושב ישראל" במקרי ספק (טופס 7912).</w:t>
      </w:r>
    </w:p>
    <w:p w:rsidR="00FC6EA0" w:rsidRPr="002D5621" w:rsidRDefault="00FC6EA0" w:rsidP="00FC6EA0">
      <w:pPr>
        <w:numPr>
          <w:ilvl w:val="0"/>
          <w:numId w:val="7"/>
        </w:numPr>
        <w:tabs>
          <w:tab w:val="left" w:pos="509"/>
        </w:tabs>
        <w:bidi/>
        <w:ind w:left="0" w:firstLine="0"/>
        <w:jc w:val="both"/>
        <w:rPr>
          <w:color w:val="000000" w:themeColor="text1"/>
        </w:rPr>
      </w:pPr>
      <w:r w:rsidRPr="002D5621">
        <w:rPr>
          <w:rFonts w:hint="cs"/>
          <w:b/>
          <w:bCs/>
          <w:color w:val="000000" w:themeColor="text1"/>
          <w:u w:val="single"/>
          <w:rtl/>
        </w:rPr>
        <w:t>מס רכישה בהקצאת זכויות באיגוד מקרקעין</w:t>
      </w:r>
      <w:r w:rsidRPr="002D5621">
        <w:rPr>
          <w:rFonts w:hint="cs"/>
          <w:color w:val="000000" w:themeColor="text1"/>
          <w:rtl/>
        </w:rPr>
        <w:t>, יחושב וישולם במועד ההקצאה לפי שווי המקרקעין שבאיגוד ולא לפי שווי הזכויות שהוקצו באיגוד.</w:t>
      </w:r>
    </w:p>
    <w:p w:rsidR="00FC6EA0" w:rsidRPr="002D5621" w:rsidRDefault="00FC6EA0" w:rsidP="00FC6EA0">
      <w:pPr>
        <w:numPr>
          <w:ilvl w:val="0"/>
          <w:numId w:val="7"/>
        </w:numPr>
        <w:tabs>
          <w:tab w:val="left" w:pos="509"/>
        </w:tabs>
        <w:bidi/>
        <w:ind w:left="0" w:firstLine="0"/>
        <w:jc w:val="both"/>
        <w:rPr>
          <w:b/>
          <w:bCs/>
          <w:color w:val="000000" w:themeColor="text1"/>
          <w:u w:val="single"/>
        </w:rPr>
      </w:pPr>
      <w:r w:rsidRPr="002D5621">
        <w:rPr>
          <w:rFonts w:hint="cs"/>
          <w:b/>
          <w:bCs/>
          <w:color w:val="000000" w:themeColor="text1"/>
          <w:u w:val="single"/>
          <w:rtl/>
        </w:rPr>
        <w:t>ברכישת דירה נוספת עד ליום 31.12.2014</w:t>
      </w:r>
      <w:r w:rsidRPr="002D5621">
        <w:rPr>
          <w:rFonts w:hint="cs"/>
          <w:color w:val="000000" w:themeColor="text1"/>
          <w:rtl/>
        </w:rPr>
        <w:t>, יחולו מדרגות מס רכישה בשיעורים של 5%, 6%, 7%, 8% ו- 10%. שיעורים אלו יחולו גם על תושב חוץ, תאגיד וחבר בני אדם.</w:t>
      </w:r>
    </w:p>
    <w:p w:rsidR="00FC6EA0" w:rsidRPr="002D5621" w:rsidRDefault="00FC6EA0" w:rsidP="00FC6EA0">
      <w:pPr>
        <w:numPr>
          <w:ilvl w:val="0"/>
          <w:numId w:val="7"/>
        </w:numPr>
        <w:tabs>
          <w:tab w:val="left" w:pos="509"/>
        </w:tabs>
        <w:bidi/>
        <w:ind w:left="0" w:firstLine="0"/>
        <w:jc w:val="both"/>
        <w:rPr>
          <w:color w:val="000000" w:themeColor="text1"/>
        </w:rPr>
      </w:pPr>
      <w:r w:rsidRPr="002D5621">
        <w:rPr>
          <w:rFonts w:hint="cs"/>
          <w:b/>
          <w:bCs/>
          <w:color w:val="000000" w:themeColor="text1"/>
          <w:u w:val="single"/>
          <w:rtl/>
        </w:rPr>
        <w:t>ברכישת דירה יחידה עד ליום 31.12.2014</w:t>
      </w:r>
      <w:r w:rsidRPr="002D5621">
        <w:rPr>
          <w:rFonts w:hint="cs"/>
          <w:color w:val="000000" w:themeColor="text1"/>
          <w:rtl/>
        </w:rPr>
        <w:t>, יחולו מדרגות מס רכישה בשיעורים של 0%, 3.5%, 5%, 8%, 10%.  שיעורים אלו יחולו כאשר:</w:t>
      </w:r>
    </w:p>
    <w:p w:rsidR="00FC6EA0" w:rsidRPr="002D5621" w:rsidRDefault="00FC6EA0" w:rsidP="00FC6EA0">
      <w:pPr>
        <w:numPr>
          <w:ilvl w:val="1"/>
          <w:numId w:val="7"/>
        </w:numPr>
        <w:tabs>
          <w:tab w:val="left" w:pos="891"/>
        </w:tabs>
        <w:bidi/>
        <w:ind w:left="0" w:firstLine="0"/>
        <w:jc w:val="both"/>
        <w:rPr>
          <w:color w:val="000000" w:themeColor="text1"/>
          <w:rtl/>
        </w:rPr>
      </w:pPr>
      <w:r w:rsidRPr="002D5621">
        <w:rPr>
          <w:rFonts w:hint="cs"/>
          <w:color w:val="000000" w:themeColor="text1"/>
          <w:rtl/>
        </w:rPr>
        <w:t>לרוכש אין דירה אחרת בישראל ובאזור.</w:t>
      </w:r>
    </w:p>
    <w:p w:rsidR="00FC6EA0" w:rsidRPr="002D5621" w:rsidRDefault="00FC6EA0" w:rsidP="00FC6EA0">
      <w:pPr>
        <w:numPr>
          <w:ilvl w:val="1"/>
          <w:numId w:val="7"/>
        </w:numPr>
        <w:tabs>
          <w:tab w:val="left" w:pos="891"/>
        </w:tabs>
        <w:bidi/>
        <w:ind w:left="0" w:firstLine="0"/>
        <w:jc w:val="both"/>
        <w:rPr>
          <w:color w:val="000000" w:themeColor="text1"/>
          <w:rtl/>
        </w:rPr>
      </w:pPr>
      <w:r w:rsidRPr="002D5621">
        <w:rPr>
          <w:rFonts w:hint="cs"/>
          <w:color w:val="000000" w:themeColor="text1"/>
          <w:rtl/>
        </w:rPr>
        <w:t>לרוכש יש דירה אחרת אשר הושכרה בשכירות מוגנת לפני 1.1.1997.</w:t>
      </w:r>
    </w:p>
    <w:p w:rsidR="00FC6EA0" w:rsidRPr="002D5621" w:rsidRDefault="00FC6EA0" w:rsidP="00FC6EA0">
      <w:pPr>
        <w:numPr>
          <w:ilvl w:val="1"/>
          <w:numId w:val="7"/>
        </w:numPr>
        <w:tabs>
          <w:tab w:val="left" w:pos="891"/>
        </w:tabs>
        <w:bidi/>
        <w:ind w:left="0" w:firstLine="0"/>
        <w:jc w:val="both"/>
        <w:rPr>
          <w:color w:val="000000" w:themeColor="text1"/>
          <w:rtl/>
        </w:rPr>
      </w:pPr>
      <w:r w:rsidRPr="002D5621">
        <w:rPr>
          <w:rFonts w:hint="cs"/>
          <w:color w:val="000000" w:themeColor="text1"/>
          <w:rtl/>
        </w:rPr>
        <w:t>לרוכש יש דירה אחרת שחלקו בה אינו עולה על שליש.</w:t>
      </w:r>
    </w:p>
    <w:p w:rsidR="00FC6EA0" w:rsidRPr="002D5621" w:rsidRDefault="00FC6EA0" w:rsidP="00FC6EA0">
      <w:pPr>
        <w:numPr>
          <w:ilvl w:val="1"/>
          <w:numId w:val="7"/>
        </w:numPr>
        <w:tabs>
          <w:tab w:val="left" w:pos="891"/>
        </w:tabs>
        <w:bidi/>
        <w:ind w:left="0" w:firstLine="0"/>
        <w:jc w:val="both"/>
        <w:rPr>
          <w:color w:val="000000" w:themeColor="text1"/>
          <w:rtl/>
        </w:rPr>
      </w:pPr>
      <w:r w:rsidRPr="002D5621">
        <w:rPr>
          <w:rFonts w:hint="cs"/>
          <w:color w:val="000000" w:themeColor="text1"/>
          <w:rtl/>
        </w:rPr>
        <w:t>הרוכש הוא "תושב ישראל", למעט, "תושב חוץ" שיעלה לישראל כ-"עולה חדש" או כ-"תושב חוזר ותיק" (כהגדרתם בפקודת מס הכנסה), תוך 24 חודש מיום הרכישה.</w:t>
      </w:r>
    </w:p>
    <w:p w:rsidR="00FC6EA0" w:rsidRPr="002D5621" w:rsidRDefault="00FC6EA0" w:rsidP="00FC6EA0">
      <w:pPr>
        <w:numPr>
          <w:ilvl w:val="1"/>
          <w:numId w:val="7"/>
        </w:numPr>
        <w:tabs>
          <w:tab w:val="left" w:pos="891"/>
        </w:tabs>
        <w:bidi/>
        <w:ind w:left="0" w:firstLine="0"/>
        <w:jc w:val="both"/>
        <w:rPr>
          <w:color w:val="000000" w:themeColor="text1"/>
        </w:rPr>
      </w:pPr>
      <w:r w:rsidRPr="002D5621">
        <w:rPr>
          <w:rFonts w:hint="cs"/>
          <w:color w:val="000000" w:themeColor="text1"/>
          <w:rtl/>
        </w:rPr>
        <w:t xml:space="preserve">הרוכש  מכר תוך 24 חודש דירה יחידה שהייתה לו במועד הרכישה, או תוך 12 </w:t>
      </w:r>
      <w:r w:rsidRPr="002D5621">
        <w:rPr>
          <w:rFonts w:hint="cs"/>
          <w:color w:val="000000" w:themeColor="text1"/>
          <w:rtl/>
        </w:rPr>
        <w:lastRenderedPageBreak/>
        <w:t>חודשים מיום שקיבל חזקה בפועל בדירה שרכש מקבלן.</w:t>
      </w:r>
    </w:p>
    <w:p w:rsidR="00FC6EA0" w:rsidRPr="002D5621" w:rsidRDefault="00FC6EA0" w:rsidP="00FC6EA0">
      <w:pPr>
        <w:numPr>
          <w:ilvl w:val="1"/>
          <w:numId w:val="7"/>
        </w:numPr>
        <w:tabs>
          <w:tab w:val="left" w:pos="891"/>
        </w:tabs>
        <w:bidi/>
        <w:ind w:left="0" w:firstLine="0"/>
        <w:jc w:val="both"/>
        <w:rPr>
          <w:color w:val="000000" w:themeColor="text1"/>
        </w:rPr>
      </w:pPr>
      <w:r w:rsidRPr="002D5621">
        <w:rPr>
          <w:rFonts w:hint="cs"/>
          <w:color w:val="000000" w:themeColor="text1"/>
          <w:rtl/>
        </w:rPr>
        <w:t>מדובר בדירה חלופית שנרכשה חלף שתי דירות לפי תנאי סעיף 49ה(א) לחוק.</w:t>
      </w:r>
    </w:p>
    <w:p w:rsidR="00FC6EA0" w:rsidRPr="002D5621" w:rsidRDefault="00FC6EA0" w:rsidP="00FC6EA0">
      <w:pPr>
        <w:numPr>
          <w:ilvl w:val="1"/>
          <w:numId w:val="7"/>
        </w:numPr>
        <w:tabs>
          <w:tab w:val="left" w:pos="891"/>
        </w:tabs>
        <w:bidi/>
        <w:ind w:left="0" w:firstLine="0"/>
        <w:jc w:val="both"/>
        <w:rPr>
          <w:color w:val="000000" w:themeColor="text1"/>
        </w:rPr>
      </w:pPr>
      <w:r w:rsidRPr="002D5621">
        <w:rPr>
          <w:rFonts w:hint="cs"/>
          <w:color w:val="000000" w:themeColor="text1"/>
          <w:rtl/>
        </w:rPr>
        <w:t xml:space="preserve">יראו רוכש ובן זוגו וילדיהם עד גיל 18 </w:t>
      </w:r>
      <w:r w:rsidRPr="002D5621">
        <w:rPr>
          <w:color w:val="000000" w:themeColor="text1"/>
          <w:rtl/>
        </w:rPr>
        <w:t>–</w:t>
      </w:r>
      <w:r w:rsidRPr="002D5621">
        <w:rPr>
          <w:rFonts w:hint="cs"/>
          <w:color w:val="000000" w:themeColor="text1"/>
          <w:rtl/>
        </w:rPr>
        <w:t xml:space="preserve"> כרוכש אחד. </w:t>
      </w:r>
    </w:p>
    <w:p w:rsidR="00FC6EA0" w:rsidRPr="002D5621" w:rsidRDefault="00FC6EA0" w:rsidP="00FC6EA0">
      <w:pPr>
        <w:tabs>
          <w:tab w:val="left" w:pos="891"/>
        </w:tabs>
        <w:bidi/>
        <w:spacing w:before="120"/>
        <w:jc w:val="both"/>
        <w:rPr>
          <w:color w:val="000000" w:themeColor="text1"/>
        </w:rPr>
      </w:pPr>
      <w:r w:rsidRPr="002D5621">
        <w:rPr>
          <w:rFonts w:hint="cs"/>
          <w:b/>
          <w:bCs/>
          <w:color w:val="000000" w:themeColor="text1"/>
          <w:u w:val="single"/>
          <w:rtl/>
        </w:rPr>
        <w:t>לעניין זה</w:t>
      </w:r>
      <w:r w:rsidRPr="002D5621">
        <w:rPr>
          <w:rFonts w:hint="cs"/>
          <w:color w:val="000000" w:themeColor="text1"/>
          <w:rtl/>
        </w:rPr>
        <w:t xml:space="preserve">, ראו הרחבת הגדרת "דירה יחידה" בהוראת ביצוע מס' 3/2013 מיום 5.6.2013 וראו הקלות לגבי רכישת דירה בתא משפחתי בהלכת </w:t>
      </w:r>
      <w:proofErr w:type="spellStart"/>
      <w:r w:rsidRPr="002D5621">
        <w:rPr>
          <w:rFonts w:hint="cs"/>
          <w:color w:val="000000" w:themeColor="text1"/>
          <w:rtl/>
        </w:rPr>
        <w:t>פלם</w:t>
      </w:r>
      <w:proofErr w:type="spellEnd"/>
      <w:r w:rsidRPr="002D5621">
        <w:rPr>
          <w:rFonts w:hint="cs"/>
          <w:color w:val="000000" w:themeColor="text1"/>
          <w:rtl/>
        </w:rPr>
        <w:t xml:space="preserve"> (ע"א 3185/03) ובהוראת ביצוע 5/2011 מיום 12.4.2011.</w:t>
      </w:r>
    </w:p>
    <w:p w:rsidR="00FC6EA0" w:rsidRPr="002D5621" w:rsidRDefault="00FC6EA0" w:rsidP="00FC6EA0">
      <w:pPr>
        <w:numPr>
          <w:ilvl w:val="0"/>
          <w:numId w:val="7"/>
        </w:numPr>
        <w:tabs>
          <w:tab w:val="left" w:pos="509"/>
        </w:tabs>
        <w:bidi/>
        <w:ind w:left="0" w:firstLine="0"/>
        <w:jc w:val="both"/>
        <w:rPr>
          <w:b/>
          <w:bCs/>
          <w:color w:val="000000" w:themeColor="text1"/>
          <w:u w:val="single"/>
        </w:rPr>
      </w:pPr>
      <w:r w:rsidRPr="002D5621">
        <w:rPr>
          <w:rFonts w:hint="cs"/>
          <w:b/>
          <w:bCs/>
          <w:color w:val="000000" w:themeColor="text1"/>
          <w:u w:val="single"/>
          <w:rtl/>
        </w:rPr>
        <w:t>ברכישת דירה נוספת מיום 1.1.2015 ואילך</w:t>
      </w:r>
      <w:r w:rsidRPr="002D5621">
        <w:rPr>
          <w:rFonts w:hint="cs"/>
          <w:color w:val="000000" w:themeColor="text1"/>
          <w:rtl/>
        </w:rPr>
        <w:t xml:space="preserve">, יחולו מדרגות מס רכישה בשיעורים של 3.5%, 5%, 8% ו- 10%. שיעורים אלו יחולו גם על תושב חוץ, תאגיד וחבר בני אדם. </w:t>
      </w:r>
    </w:p>
    <w:p w:rsidR="00FC6EA0" w:rsidRPr="002D5621" w:rsidRDefault="00FC6EA0" w:rsidP="00FC6EA0">
      <w:pPr>
        <w:numPr>
          <w:ilvl w:val="0"/>
          <w:numId w:val="7"/>
        </w:numPr>
        <w:tabs>
          <w:tab w:val="left" w:pos="509"/>
        </w:tabs>
        <w:bidi/>
        <w:ind w:left="0" w:firstLine="0"/>
        <w:jc w:val="both"/>
        <w:rPr>
          <w:color w:val="000000" w:themeColor="text1"/>
        </w:rPr>
      </w:pPr>
      <w:r w:rsidRPr="002D5621">
        <w:rPr>
          <w:rFonts w:hint="cs"/>
          <w:b/>
          <w:bCs/>
          <w:color w:val="000000" w:themeColor="text1"/>
          <w:u w:val="single"/>
          <w:rtl/>
        </w:rPr>
        <w:t>ברכישת דירה יחידה מיום 1.1.2015 ואילך,</w:t>
      </w:r>
      <w:r w:rsidRPr="002D5621">
        <w:rPr>
          <w:rFonts w:hint="cs"/>
          <w:color w:val="000000" w:themeColor="text1"/>
          <w:rtl/>
        </w:rPr>
        <w:t xml:space="preserve"> יחולו מדרגות מס רכישה בשיעורים של 0%, 3.5%, 5%, 8%, 10%.  שיעורים אלו יחולו כאשר מתקיימים התנאים האמורים בסעיף 5 לעיל. </w:t>
      </w:r>
    </w:p>
    <w:p w:rsidR="00FC6EA0" w:rsidRPr="002D5621" w:rsidRDefault="00FC6EA0" w:rsidP="00963072">
      <w:pPr>
        <w:tabs>
          <w:tab w:val="left" w:pos="608"/>
        </w:tabs>
        <w:bidi/>
        <w:jc w:val="both"/>
        <w:rPr>
          <w:color w:val="000000" w:themeColor="text1"/>
        </w:rPr>
      </w:pPr>
      <w:r w:rsidRPr="002D5621">
        <w:rPr>
          <w:rFonts w:hint="cs"/>
          <w:color w:val="000000" w:themeColor="text1"/>
          <w:rtl/>
        </w:rPr>
        <w:t xml:space="preserve">לאור הגדלת מס הרכישה על רכישת מקרקעין בכלל ועל רכישת בניין או דירות בפרט, כדאי לבחון את האפשרויות לצמצום המס על ידי זיהוי ספציפי של זכויות הנמכרות יחד עם הזכות במקרקעין שאינן זכויות במקרקעין (כגון: מיטלטלין מחוברים שלא בדרך קבע, מוניטין וכדומה) ואפשרויות נוספות לחיסכון במס רכישה בהתאם לפרשנויות שניתנו בפסיקה ובהוראות הביצוע לעניין זה. </w:t>
      </w:r>
    </w:p>
    <w:p w:rsidR="00FC6EA0" w:rsidRPr="002D5621" w:rsidRDefault="00FC6EA0" w:rsidP="00963072">
      <w:pPr>
        <w:tabs>
          <w:tab w:val="left" w:pos="891"/>
        </w:tabs>
        <w:bidi/>
        <w:jc w:val="both"/>
        <w:rPr>
          <w:color w:val="000000" w:themeColor="text1"/>
          <w:rtl/>
        </w:rPr>
      </w:pPr>
      <w:r w:rsidRPr="002D5621">
        <w:rPr>
          <w:rFonts w:hint="cs"/>
          <w:b/>
          <w:bCs/>
          <w:color w:val="000000" w:themeColor="text1"/>
          <w:u w:val="single"/>
          <w:rtl/>
        </w:rPr>
        <w:t xml:space="preserve">הטלת חיוב מס שבח במכירת "דירת מגורים מזכה" </w:t>
      </w:r>
    </w:p>
    <w:p w:rsidR="00FC6EA0" w:rsidRPr="002D5621" w:rsidRDefault="00FC6EA0" w:rsidP="00963072">
      <w:pPr>
        <w:numPr>
          <w:ilvl w:val="0"/>
          <w:numId w:val="7"/>
        </w:numPr>
        <w:tabs>
          <w:tab w:val="left" w:pos="509"/>
        </w:tabs>
        <w:bidi/>
        <w:ind w:left="0" w:firstLine="0"/>
        <w:jc w:val="both"/>
        <w:rPr>
          <w:b/>
          <w:bCs/>
          <w:color w:val="000000" w:themeColor="text1"/>
          <w:u w:val="single"/>
        </w:rPr>
      </w:pPr>
      <w:r w:rsidRPr="002D5621">
        <w:rPr>
          <w:rFonts w:hint="cs"/>
          <w:b/>
          <w:bCs/>
          <w:color w:val="000000" w:themeColor="text1"/>
          <w:u w:val="single"/>
          <w:rtl/>
        </w:rPr>
        <w:t>במכר דירה הזכאית לפטור עד ליום 31.12.2013</w:t>
      </w:r>
      <w:r w:rsidRPr="002D5621">
        <w:rPr>
          <w:rFonts w:hint="cs"/>
          <w:color w:val="000000" w:themeColor="text1"/>
          <w:rtl/>
        </w:rPr>
        <w:t xml:space="preserve"> </w:t>
      </w:r>
      <w:r w:rsidRPr="002D5621">
        <w:rPr>
          <w:color w:val="000000" w:themeColor="text1"/>
          <w:rtl/>
        </w:rPr>
        <w:t>–</w:t>
      </w:r>
      <w:r w:rsidRPr="002D5621">
        <w:rPr>
          <w:rFonts w:hint="cs"/>
          <w:color w:val="000000" w:themeColor="text1"/>
          <w:rtl/>
        </w:rPr>
        <w:t xml:space="preserve"> ימשיכו לחול הוראות החוק כפי שהיו עד היום בפרק חמישי 1 לחוק. דהיינו: זכאות לפטור מלא אם לא נוצל פטור ממס בארבע השנים שקדמו למכירה (49ב(1)), או במכר דירה לאחר שחלפו 18 חודש ממועד ניצול פטור זה במכירה קודמת וככל שלמוכר לא הייתה דירה אחרת בארבע השנים שקדמו למכירה(49ב(2)) ופטור מוריש (49ב(5)). </w:t>
      </w:r>
    </w:p>
    <w:p w:rsidR="00FC6EA0" w:rsidRPr="002D5621" w:rsidRDefault="00FC6EA0" w:rsidP="00963072">
      <w:pPr>
        <w:numPr>
          <w:ilvl w:val="0"/>
          <w:numId w:val="7"/>
        </w:numPr>
        <w:tabs>
          <w:tab w:val="left" w:pos="509"/>
        </w:tabs>
        <w:bidi/>
        <w:ind w:left="0" w:firstLine="0"/>
        <w:jc w:val="both"/>
        <w:rPr>
          <w:b/>
          <w:bCs/>
          <w:color w:val="000000" w:themeColor="text1"/>
          <w:u w:val="single"/>
        </w:rPr>
      </w:pPr>
      <w:r w:rsidRPr="002D5621">
        <w:rPr>
          <w:rFonts w:hint="cs"/>
          <w:b/>
          <w:bCs/>
          <w:color w:val="000000" w:themeColor="text1"/>
          <w:u w:val="single"/>
          <w:rtl/>
        </w:rPr>
        <w:t>במכר דירה שאינה זכאית לפטור עד ליום 31.12.2013</w:t>
      </w:r>
      <w:r w:rsidRPr="002D5621">
        <w:rPr>
          <w:rFonts w:hint="cs"/>
          <w:color w:val="000000" w:themeColor="text1"/>
          <w:rtl/>
        </w:rPr>
        <w:t xml:space="preserve">, שיעור מס השבח יישאר כפי שהיה, ממועד הרכישה (1.3.1961 ואילך) לפי שיעור המס שולי החל על המוכר עד 6.11.2001, ממועד זה עד 31.12.2011 </w:t>
      </w:r>
      <w:r w:rsidRPr="002D5621">
        <w:rPr>
          <w:color w:val="000000" w:themeColor="text1"/>
          <w:rtl/>
        </w:rPr>
        <w:t>–</w:t>
      </w:r>
      <w:r w:rsidRPr="002D5621">
        <w:rPr>
          <w:rFonts w:hint="cs"/>
          <w:color w:val="000000" w:themeColor="text1"/>
          <w:rtl/>
        </w:rPr>
        <w:t xml:space="preserve"> 20% ומיום 1.1.2012 ואילך </w:t>
      </w:r>
      <w:r w:rsidRPr="002D5621">
        <w:rPr>
          <w:color w:val="000000" w:themeColor="text1"/>
          <w:rtl/>
        </w:rPr>
        <w:t>–</w:t>
      </w:r>
      <w:r w:rsidRPr="002D5621">
        <w:rPr>
          <w:rFonts w:hint="cs"/>
          <w:color w:val="000000" w:themeColor="text1"/>
          <w:rtl/>
        </w:rPr>
        <w:t xml:space="preserve"> 25% בשיטה הלינארית לפי ייחוס השבח לתקופות.</w:t>
      </w:r>
    </w:p>
    <w:p w:rsidR="00FC6EA0" w:rsidRPr="002D5621" w:rsidRDefault="00FC6EA0" w:rsidP="00963072">
      <w:pPr>
        <w:numPr>
          <w:ilvl w:val="0"/>
          <w:numId w:val="7"/>
        </w:numPr>
        <w:tabs>
          <w:tab w:val="left" w:pos="509"/>
        </w:tabs>
        <w:bidi/>
        <w:ind w:left="0" w:firstLine="0"/>
        <w:jc w:val="both"/>
        <w:rPr>
          <w:color w:val="000000" w:themeColor="text1"/>
        </w:rPr>
      </w:pPr>
      <w:r w:rsidRPr="002D5621">
        <w:rPr>
          <w:rFonts w:hint="cs"/>
          <w:b/>
          <w:bCs/>
          <w:color w:val="000000" w:themeColor="text1"/>
          <w:u w:val="single"/>
          <w:rtl/>
        </w:rPr>
        <w:t>הטלת מס שבח במכר דירה נוספת מיום 1.1.2014 ואילך,</w:t>
      </w:r>
      <w:r w:rsidRPr="002D5621">
        <w:rPr>
          <w:rFonts w:hint="cs"/>
          <w:color w:val="000000" w:themeColor="text1"/>
          <w:rtl/>
        </w:rPr>
        <w:t xml:space="preserve"> על חלק השבח הריאלי המתייחס לתקופה מ-"יום המעבר" 1.1.2014 ועד למועד מכירת הדירה, ביחס לכלל תקופת החזקת הדירה. שיעור מס השבח יהיה 25% מהשבח הריאלי היחסי מיום המעבר ואילך. </w:t>
      </w:r>
    </w:p>
    <w:p w:rsidR="00FC6EA0" w:rsidRPr="002D5621" w:rsidRDefault="00FC6EA0" w:rsidP="00963072">
      <w:pPr>
        <w:tabs>
          <w:tab w:val="left" w:pos="891"/>
        </w:tabs>
        <w:bidi/>
        <w:jc w:val="both"/>
        <w:rPr>
          <w:color w:val="000000" w:themeColor="text1"/>
          <w:rtl/>
        </w:rPr>
      </w:pPr>
      <w:r w:rsidRPr="002D5621">
        <w:rPr>
          <w:rFonts w:hint="cs"/>
          <w:b/>
          <w:bCs/>
          <w:color w:val="000000" w:themeColor="text1"/>
          <w:u w:val="single"/>
          <w:rtl/>
        </w:rPr>
        <w:t>לעניין זה,</w:t>
      </w:r>
      <w:r w:rsidRPr="002D5621">
        <w:rPr>
          <w:rFonts w:hint="cs"/>
          <w:color w:val="000000" w:themeColor="text1"/>
          <w:rtl/>
        </w:rPr>
        <w:t xml:space="preserve"> למרות שהמס יוטל רק במכר דירה מיום 1.1.2014 הרי בגלל שיטת חישוב המס, הרי ככל שמחירי הדירות לא ימשיכו לעלות </w:t>
      </w:r>
      <w:r w:rsidRPr="002D5621">
        <w:rPr>
          <w:rFonts w:hint="cs"/>
          <w:color w:val="000000" w:themeColor="text1"/>
          <w:rtl/>
        </w:rPr>
        <w:lastRenderedPageBreak/>
        <w:t xml:space="preserve">בשנים הבאות או </w:t>
      </w:r>
      <w:proofErr w:type="spellStart"/>
      <w:r w:rsidRPr="002D5621">
        <w:rPr>
          <w:rFonts w:hint="cs"/>
          <w:color w:val="000000" w:themeColor="text1"/>
          <w:rtl/>
        </w:rPr>
        <w:t>ייקפאו</w:t>
      </w:r>
      <w:proofErr w:type="spellEnd"/>
      <w:r w:rsidRPr="002D5621">
        <w:rPr>
          <w:rFonts w:hint="cs"/>
          <w:color w:val="000000" w:themeColor="text1"/>
          <w:rtl/>
        </w:rPr>
        <w:t xml:space="preserve">, יוטל המס למעשה על השבח שצמח בשנים קודמות על הדירה באופן </w:t>
      </w:r>
      <w:r w:rsidRPr="002D5621">
        <w:rPr>
          <w:rFonts w:hint="cs"/>
          <w:b/>
          <w:bCs/>
          <w:color w:val="000000" w:themeColor="text1"/>
          <w:rtl/>
        </w:rPr>
        <w:t>רטרואקטיבי</w:t>
      </w:r>
      <w:r w:rsidRPr="002D5621">
        <w:rPr>
          <w:rFonts w:hint="cs"/>
          <w:color w:val="000000" w:themeColor="text1"/>
          <w:rtl/>
        </w:rPr>
        <w:t xml:space="preserve">. בנוסף, מס השבח היחסי </w:t>
      </w:r>
      <w:r w:rsidRPr="002D5621">
        <w:rPr>
          <w:rFonts w:hint="cs"/>
          <w:b/>
          <w:bCs/>
          <w:color w:val="000000" w:themeColor="text1"/>
          <w:rtl/>
        </w:rPr>
        <w:t>יגדל</w:t>
      </w:r>
      <w:r w:rsidRPr="002D5621">
        <w:rPr>
          <w:rFonts w:hint="cs"/>
          <w:color w:val="000000" w:themeColor="text1"/>
          <w:rtl/>
        </w:rPr>
        <w:t xml:space="preserve"> ככל שהדירה תימכר במועד מאוחר יותר בשל התארכות תקופת החבות במס לעומת תקופת הפטור ממס. </w:t>
      </w:r>
    </w:p>
    <w:p w:rsidR="00FC6EA0" w:rsidRPr="002D5621" w:rsidRDefault="00FC6EA0" w:rsidP="00963072">
      <w:pPr>
        <w:tabs>
          <w:tab w:val="left" w:pos="891"/>
        </w:tabs>
        <w:bidi/>
        <w:jc w:val="both"/>
        <w:rPr>
          <w:color w:val="000000" w:themeColor="text1"/>
          <w:rtl/>
        </w:rPr>
      </w:pPr>
      <w:r w:rsidRPr="002D5621">
        <w:rPr>
          <w:rFonts w:hint="cs"/>
          <w:color w:val="000000" w:themeColor="text1"/>
          <w:rtl/>
        </w:rPr>
        <w:t xml:space="preserve">ככל שהדירה הנמכרת הייתה מושכרת, אזי מס השבח </w:t>
      </w:r>
      <w:r w:rsidRPr="002D5621">
        <w:rPr>
          <w:rFonts w:hint="cs"/>
          <w:b/>
          <w:bCs/>
          <w:color w:val="000000" w:themeColor="text1"/>
          <w:rtl/>
        </w:rPr>
        <w:t>יגדל</w:t>
      </w:r>
      <w:r w:rsidRPr="002D5621">
        <w:rPr>
          <w:rFonts w:hint="cs"/>
          <w:color w:val="000000" w:themeColor="text1"/>
          <w:rtl/>
        </w:rPr>
        <w:t xml:space="preserve"> בשל צבירת הפחת השנתי בגינה אף אם הושכרה במסלול 10% מס או בפטור ממס לכאורה. לכן, בכל מכירת דירה כאשר למוכר יש דירה אחרת יהיה צורך לערוך "</w:t>
      </w:r>
      <w:r w:rsidRPr="002D5621">
        <w:rPr>
          <w:rFonts w:hint="cs"/>
          <w:b/>
          <w:bCs/>
          <w:color w:val="000000" w:themeColor="text1"/>
          <w:rtl/>
        </w:rPr>
        <w:t>שומה</w:t>
      </w:r>
      <w:r w:rsidRPr="002D5621">
        <w:rPr>
          <w:rFonts w:hint="cs"/>
          <w:color w:val="000000" w:themeColor="text1"/>
          <w:rtl/>
        </w:rPr>
        <w:t xml:space="preserve"> </w:t>
      </w:r>
      <w:r w:rsidRPr="002D5621">
        <w:rPr>
          <w:rFonts w:hint="cs"/>
          <w:b/>
          <w:bCs/>
          <w:color w:val="000000" w:themeColor="text1"/>
          <w:rtl/>
        </w:rPr>
        <w:t>עצמית</w:t>
      </w:r>
      <w:r w:rsidRPr="002D5621">
        <w:rPr>
          <w:rFonts w:hint="cs"/>
          <w:color w:val="000000" w:themeColor="text1"/>
          <w:rtl/>
        </w:rPr>
        <w:t xml:space="preserve">" על כל המשתמע מכך. </w:t>
      </w:r>
    </w:p>
    <w:p w:rsidR="00FC6EA0" w:rsidRPr="002D5621" w:rsidRDefault="00FC6EA0" w:rsidP="00963072">
      <w:pPr>
        <w:numPr>
          <w:ilvl w:val="0"/>
          <w:numId w:val="7"/>
        </w:numPr>
        <w:tabs>
          <w:tab w:val="left" w:pos="509"/>
        </w:tabs>
        <w:bidi/>
        <w:ind w:left="0" w:firstLine="0"/>
        <w:jc w:val="both"/>
        <w:rPr>
          <w:color w:val="000000" w:themeColor="text1"/>
        </w:rPr>
      </w:pPr>
      <w:r w:rsidRPr="002D5621">
        <w:rPr>
          <w:rFonts w:hint="cs"/>
          <w:b/>
          <w:bCs/>
          <w:color w:val="000000" w:themeColor="text1"/>
          <w:u w:val="single"/>
          <w:rtl/>
        </w:rPr>
        <w:t>פטור במכר דירה מיום 1.1.2014,</w:t>
      </w:r>
      <w:r w:rsidRPr="002D5621">
        <w:rPr>
          <w:rFonts w:hint="cs"/>
          <w:color w:val="000000" w:themeColor="text1"/>
          <w:rtl/>
        </w:rPr>
        <w:t xml:space="preserve"> חלק השבח הריאלי בגין התקופה עד ליום 31.12.2013, יהיה פטור ממס שבח בכל מכירת דירת מגורים מזכה, ללא קשר לכמות הדירות ומועדי מכירתם בעבר. בתקופת המעבר מיום 1.1.2014 ועד 31.12.2017 יוגבל הפטור עד שתי דירות בלבד. הפטור יחול גם על מכר זכויות בנייה נלוות לדירה הנמכרת עד תקרות הסכומים בסעיף 49ז לחוק. לא חל שינוי בתנאי לפיו הדירה חייבת להיות עונה להגדרת "דירת מגורים מזכה".</w:t>
      </w:r>
    </w:p>
    <w:p w:rsidR="00FC6EA0" w:rsidRPr="002D5621" w:rsidRDefault="00FC6EA0" w:rsidP="00963072">
      <w:pPr>
        <w:numPr>
          <w:ilvl w:val="0"/>
          <w:numId w:val="7"/>
        </w:numPr>
        <w:tabs>
          <w:tab w:val="left" w:pos="509"/>
        </w:tabs>
        <w:bidi/>
        <w:ind w:left="0" w:firstLine="0"/>
        <w:jc w:val="both"/>
        <w:rPr>
          <w:b/>
          <w:bCs/>
          <w:color w:val="000000" w:themeColor="text1"/>
          <w:u w:val="single"/>
        </w:rPr>
      </w:pPr>
      <w:r w:rsidRPr="002D5621">
        <w:rPr>
          <w:rFonts w:hint="cs"/>
          <w:b/>
          <w:bCs/>
          <w:color w:val="000000" w:themeColor="text1"/>
          <w:u w:val="single"/>
          <w:rtl/>
        </w:rPr>
        <w:t>מכירת דירה יחידה מיום 1.1.2014,</w:t>
      </w:r>
      <w:r w:rsidRPr="002D5621">
        <w:rPr>
          <w:rFonts w:hint="cs"/>
          <w:color w:val="000000" w:themeColor="text1"/>
          <w:rtl/>
        </w:rPr>
        <w:t xml:space="preserve"> תהא פטורה ממס שבח לחלוטין אם היא "דירת מגורים מזכה" והמכירה עומדת בתנאים הבאים:</w:t>
      </w:r>
    </w:p>
    <w:p w:rsidR="00FC6EA0" w:rsidRPr="002D5621" w:rsidRDefault="00FC6EA0" w:rsidP="00963072">
      <w:pPr>
        <w:numPr>
          <w:ilvl w:val="1"/>
          <w:numId w:val="7"/>
        </w:numPr>
        <w:tabs>
          <w:tab w:val="left" w:pos="891"/>
        </w:tabs>
        <w:bidi/>
        <w:ind w:left="0" w:firstLine="0"/>
        <w:jc w:val="both"/>
        <w:rPr>
          <w:color w:val="000000" w:themeColor="text1"/>
        </w:rPr>
      </w:pPr>
      <w:r w:rsidRPr="002D5621">
        <w:rPr>
          <w:rFonts w:hint="cs"/>
          <w:color w:val="000000" w:themeColor="text1"/>
          <w:rtl/>
        </w:rPr>
        <w:t xml:space="preserve">המוכר הוא "תושב ישראל", או "תושב חוץ" שאין לו דירת מגורים במדינה בה הוא תושב והמציא אישור על כך משלטונות המס במדינת התושבות שלו. למעט, כשמדובר בתושב חוץ המוכר דירה הנמכרת בתמורה לקבלת שירותי בנייה בבניין שיבנה על הקרקע שעליה נמצאת הדירה (49א).  </w:t>
      </w:r>
    </w:p>
    <w:p w:rsidR="00FC6EA0" w:rsidRPr="002D5621" w:rsidRDefault="00FC6EA0" w:rsidP="00963072">
      <w:pPr>
        <w:numPr>
          <w:ilvl w:val="1"/>
          <w:numId w:val="7"/>
        </w:numPr>
        <w:tabs>
          <w:tab w:val="left" w:pos="891"/>
        </w:tabs>
        <w:bidi/>
        <w:ind w:left="0" w:firstLine="0"/>
        <w:jc w:val="both"/>
        <w:rPr>
          <w:color w:val="000000" w:themeColor="text1"/>
        </w:rPr>
      </w:pPr>
      <w:r w:rsidRPr="002D5621">
        <w:rPr>
          <w:rFonts w:hint="cs"/>
          <w:color w:val="000000" w:themeColor="text1"/>
          <w:rtl/>
        </w:rPr>
        <w:t xml:space="preserve">תקרת הפטור מוגבלת עד לשווי מכירה העולה על 4.5 מיליון ₪, השווי העולה על תקרה זו יהיה חייב במס שבח יחסי לגבי תקופת ההחזקה מיום 1.1.2014 ואילך ביחס לכלל תקופת ההחזקה בדירה. </w:t>
      </w:r>
    </w:p>
    <w:p w:rsidR="00FC6EA0" w:rsidRPr="002D5621" w:rsidRDefault="00FC6EA0" w:rsidP="00963072">
      <w:pPr>
        <w:numPr>
          <w:ilvl w:val="1"/>
          <w:numId w:val="7"/>
        </w:numPr>
        <w:tabs>
          <w:tab w:val="left" w:pos="891"/>
        </w:tabs>
        <w:bidi/>
        <w:ind w:left="0" w:firstLine="0"/>
        <w:jc w:val="both"/>
        <w:rPr>
          <w:color w:val="000000" w:themeColor="text1"/>
        </w:rPr>
      </w:pPr>
      <w:r w:rsidRPr="002D5621">
        <w:rPr>
          <w:rFonts w:hint="cs"/>
          <w:color w:val="000000" w:themeColor="text1"/>
          <w:rtl/>
        </w:rPr>
        <w:t xml:space="preserve">אין למוכר דירה אחרת בישראל ובאזור. </w:t>
      </w:r>
    </w:p>
    <w:p w:rsidR="00FC6EA0" w:rsidRPr="002D5621" w:rsidRDefault="00FC6EA0" w:rsidP="00963072">
      <w:pPr>
        <w:numPr>
          <w:ilvl w:val="1"/>
          <w:numId w:val="7"/>
        </w:numPr>
        <w:tabs>
          <w:tab w:val="left" w:pos="891"/>
        </w:tabs>
        <w:bidi/>
        <w:ind w:left="0" w:firstLine="0"/>
        <w:jc w:val="both"/>
        <w:rPr>
          <w:color w:val="000000" w:themeColor="text1"/>
        </w:rPr>
      </w:pPr>
      <w:r w:rsidRPr="002D5621">
        <w:rPr>
          <w:rFonts w:hint="cs"/>
          <w:color w:val="000000" w:themeColor="text1"/>
          <w:rtl/>
        </w:rPr>
        <w:t>הדירה הייתה בבעלות המוכר לפחות 18 חודש מאז שהייתה ראויה למגורים.</w:t>
      </w:r>
    </w:p>
    <w:p w:rsidR="00FC6EA0" w:rsidRPr="002D5621" w:rsidRDefault="00FC6EA0" w:rsidP="00963072">
      <w:pPr>
        <w:numPr>
          <w:ilvl w:val="1"/>
          <w:numId w:val="7"/>
        </w:numPr>
        <w:tabs>
          <w:tab w:val="left" w:pos="891"/>
        </w:tabs>
        <w:bidi/>
        <w:ind w:left="0" w:firstLine="0"/>
        <w:jc w:val="both"/>
        <w:rPr>
          <w:color w:val="000000" w:themeColor="text1"/>
        </w:rPr>
      </w:pPr>
      <w:r w:rsidRPr="002D5621">
        <w:rPr>
          <w:rFonts w:hint="cs"/>
          <w:color w:val="000000" w:themeColor="text1"/>
          <w:rtl/>
        </w:rPr>
        <w:t>המוכר לא מכר במשך 18 החודשים שקדמו למכירה דירה אחרת בפטור זה.</w:t>
      </w:r>
    </w:p>
    <w:p w:rsidR="00FC6EA0" w:rsidRPr="002D5621" w:rsidRDefault="00FC6EA0" w:rsidP="00963072">
      <w:pPr>
        <w:numPr>
          <w:ilvl w:val="1"/>
          <w:numId w:val="7"/>
        </w:numPr>
        <w:tabs>
          <w:tab w:val="left" w:pos="891"/>
        </w:tabs>
        <w:bidi/>
        <w:ind w:left="0" w:firstLine="0"/>
        <w:jc w:val="both"/>
        <w:rPr>
          <w:color w:val="000000" w:themeColor="text1"/>
        </w:rPr>
      </w:pPr>
      <w:r w:rsidRPr="002D5621">
        <w:rPr>
          <w:rFonts w:hint="cs"/>
          <w:color w:val="000000" w:themeColor="text1"/>
          <w:rtl/>
        </w:rPr>
        <w:t>חלקו של המוכר הוא שליש לפחות מהזכויות בדירה הנמכרת.</w:t>
      </w:r>
    </w:p>
    <w:p w:rsidR="00FC6EA0" w:rsidRPr="002D5621" w:rsidRDefault="00FC6EA0" w:rsidP="00963072">
      <w:pPr>
        <w:numPr>
          <w:ilvl w:val="1"/>
          <w:numId w:val="7"/>
        </w:numPr>
        <w:tabs>
          <w:tab w:val="left" w:pos="891"/>
        </w:tabs>
        <w:bidi/>
        <w:ind w:left="0" w:firstLine="0"/>
        <w:jc w:val="both"/>
        <w:rPr>
          <w:color w:val="000000" w:themeColor="text1"/>
        </w:rPr>
      </w:pPr>
      <w:r w:rsidRPr="002D5621">
        <w:rPr>
          <w:rFonts w:hint="cs"/>
          <w:color w:val="000000" w:themeColor="text1"/>
          <w:rtl/>
        </w:rPr>
        <w:t>יש למוכר דירה נוספת אשר נרכשה כתחליף לדירה הנמכרת ב- 18 חודש שקדמו למכירה, או שהדירה הנוספת הושכרה למגורים בשכירות מוגנת לפני 1.1.1997, או שחלקו של המוכר בדירה הנוספת אינו עולה על שליש (49ג)).</w:t>
      </w:r>
    </w:p>
    <w:p w:rsidR="00FC6EA0" w:rsidRPr="002D5621" w:rsidRDefault="00FC6EA0" w:rsidP="00963072">
      <w:pPr>
        <w:numPr>
          <w:ilvl w:val="1"/>
          <w:numId w:val="7"/>
        </w:numPr>
        <w:tabs>
          <w:tab w:val="left" w:pos="891"/>
        </w:tabs>
        <w:bidi/>
        <w:ind w:left="84" w:firstLine="0"/>
        <w:jc w:val="both"/>
        <w:rPr>
          <w:color w:val="000000" w:themeColor="text1"/>
        </w:rPr>
      </w:pPr>
      <w:r w:rsidRPr="002D5621">
        <w:rPr>
          <w:rFonts w:hint="cs"/>
          <w:color w:val="000000" w:themeColor="text1"/>
          <w:rtl/>
        </w:rPr>
        <w:lastRenderedPageBreak/>
        <w:t xml:space="preserve">המוכר לא קיבל עבור דירה אחרת פטור לפי סעיף זה, בשל העובדה שהדירה הנמכרת הייתה מושכרת בשכירות מוגנת לפני 1.1.1997 ולכן אפשרה פטור דירה יחידה לאותה דירה אחרת.  </w:t>
      </w:r>
    </w:p>
    <w:p w:rsidR="00FC6EA0" w:rsidRPr="002D5621" w:rsidRDefault="00FC6EA0" w:rsidP="00963072">
      <w:pPr>
        <w:numPr>
          <w:ilvl w:val="1"/>
          <w:numId w:val="7"/>
        </w:numPr>
        <w:tabs>
          <w:tab w:val="left" w:pos="891"/>
        </w:tabs>
        <w:bidi/>
        <w:ind w:left="84" w:firstLine="0"/>
        <w:jc w:val="both"/>
        <w:rPr>
          <w:color w:val="000000" w:themeColor="text1"/>
        </w:rPr>
      </w:pPr>
      <w:r w:rsidRPr="002D5621">
        <w:rPr>
          <w:rFonts w:hint="cs"/>
          <w:color w:val="000000" w:themeColor="text1"/>
          <w:rtl/>
        </w:rPr>
        <w:t>הדירה התקבלה בירושה ממוריש שהיה בן זוג, הורה או בן זוג של צאצא של המוריש ולמוריש הייתה רק דירת מגורים אחת לפני פטירתו, אף אם המוריש לא היה פטור ממס בשל המכירה אם היה בחיים בעת המכירה (49ג(4)).</w:t>
      </w:r>
    </w:p>
    <w:p w:rsidR="00FC6EA0" w:rsidRPr="002D5621" w:rsidRDefault="00FC6EA0" w:rsidP="00963072">
      <w:pPr>
        <w:numPr>
          <w:ilvl w:val="1"/>
          <w:numId w:val="7"/>
        </w:numPr>
        <w:tabs>
          <w:tab w:val="left" w:pos="891"/>
        </w:tabs>
        <w:bidi/>
        <w:ind w:left="84" w:firstLine="0"/>
        <w:jc w:val="both"/>
        <w:rPr>
          <w:color w:val="000000" w:themeColor="text1"/>
        </w:rPr>
      </w:pPr>
      <w:r w:rsidRPr="002D5621">
        <w:rPr>
          <w:rFonts w:hint="cs"/>
          <w:color w:val="000000" w:themeColor="text1"/>
          <w:rtl/>
        </w:rPr>
        <w:t>למוכר אין דירת מגורים בבעלות איגוד, אשר הוא מחזיק למעלה משליש מהזכויות בו. לרבות, זכויות בפירוק, זכויות לרווחים או זכויות למנות מנהלים לאיגוד, במישרין או בעקיפין, למעט דירה שהיא מלאי עסקי, או דירה שהושכרה בשכירות מוגנת לפני 1.1.1997 (49ד).</w:t>
      </w:r>
    </w:p>
    <w:p w:rsidR="00FC6EA0" w:rsidRPr="002D5621" w:rsidRDefault="00FC6EA0" w:rsidP="00963072">
      <w:pPr>
        <w:numPr>
          <w:ilvl w:val="1"/>
          <w:numId w:val="7"/>
        </w:numPr>
        <w:tabs>
          <w:tab w:val="left" w:pos="891"/>
        </w:tabs>
        <w:bidi/>
        <w:ind w:left="84" w:firstLine="0"/>
        <w:jc w:val="both"/>
        <w:rPr>
          <w:color w:val="000000" w:themeColor="text1"/>
        </w:rPr>
      </w:pPr>
      <w:r w:rsidRPr="002D5621">
        <w:rPr>
          <w:rFonts w:hint="cs"/>
          <w:color w:val="000000" w:themeColor="text1"/>
          <w:rtl/>
        </w:rPr>
        <w:t>פטור זה לא יחול לגבי מוכר דירה יחידה עד ליום 31.12.2017, אשר ביום 1.1.2014 היו בבעלותו שתי דירות לפחות.</w:t>
      </w:r>
    </w:p>
    <w:p w:rsidR="00FC6EA0" w:rsidRPr="002D5621" w:rsidRDefault="00FC6EA0" w:rsidP="00963072">
      <w:pPr>
        <w:tabs>
          <w:tab w:val="left" w:pos="891"/>
        </w:tabs>
        <w:bidi/>
        <w:ind w:left="84"/>
        <w:jc w:val="both"/>
        <w:rPr>
          <w:color w:val="000000" w:themeColor="text1"/>
        </w:rPr>
      </w:pPr>
      <w:r w:rsidRPr="002D5621">
        <w:rPr>
          <w:rFonts w:hint="cs"/>
          <w:color w:val="000000" w:themeColor="text1"/>
          <w:rtl/>
        </w:rPr>
        <w:t>לעניין זה, שימו לב לכל התנאים הנדרשים באופן מצטבר כדי לזכות בפטור לדירה יחידה. למוכרים רבים יהיה קושי להיכלל בהם, כגון: למוכרי משק חקלאי שבו יש כמה יחידות דיור !</w:t>
      </w:r>
    </w:p>
    <w:p w:rsidR="00FC6EA0" w:rsidRPr="002D5621" w:rsidRDefault="00FC6EA0" w:rsidP="00963072">
      <w:pPr>
        <w:numPr>
          <w:ilvl w:val="0"/>
          <w:numId w:val="7"/>
        </w:numPr>
        <w:tabs>
          <w:tab w:val="left" w:pos="651"/>
        </w:tabs>
        <w:bidi/>
        <w:ind w:left="84" w:firstLine="0"/>
        <w:jc w:val="both"/>
        <w:rPr>
          <w:b/>
          <w:bCs/>
          <w:color w:val="000000" w:themeColor="text1"/>
          <w:u w:val="single"/>
        </w:rPr>
      </w:pPr>
      <w:r w:rsidRPr="002D5621">
        <w:rPr>
          <w:rFonts w:hint="cs"/>
          <w:b/>
          <w:bCs/>
          <w:color w:val="000000" w:themeColor="text1"/>
          <w:u w:val="single"/>
          <w:rtl/>
        </w:rPr>
        <w:t>מכירת דירה נוספת בתקופת המעבר מיום 1.1.2014 ועד ליום 31.12.2017,</w:t>
      </w:r>
      <w:r w:rsidRPr="002D5621">
        <w:rPr>
          <w:rFonts w:hint="cs"/>
          <w:color w:val="000000" w:themeColor="text1"/>
          <w:rtl/>
        </w:rPr>
        <w:t xml:space="preserve"> יינתן הפטור ממס השבח היחסי לגבי תקופת ההחזקה עד ליום 1.1.2014, רק במכירה של עד שתי דירות בלבד, כאשר לפחות אחת משתי הדירות חייבת להימכר לאחר שחלפו ארבע שנים מאז שנוצל פטור ממס במכירת דירה אחרת. לגבי דירות אלו, חלק השבח בגין התקופה מיום 1.1.2014 יהיה חייב במס שבח בשיעור של 25% מהשבח הריאלי. לא יינתן פטור לפי סעיף זה, במכירה ל-"קרוב", בתמורה או שלא בתמורה. כל דירה אחרת שתימכר בתקופה זו תחויב במס שבח מלא. ההוראות האמורות יחולו גם על מכירת דירה יחידה שנותרה למוכר שהיו לו ביום 1.1.2014 שתי דירות לפחות ולא יחולו לגביה הוראות הפטור החלות לגבי מכר דירה יחידה.</w:t>
      </w:r>
      <w:r w:rsidRPr="002D5621">
        <w:rPr>
          <w:rFonts w:hint="cs"/>
          <w:b/>
          <w:bCs/>
          <w:color w:val="000000" w:themeColor="text1"/>
          <w:u w:val="single"/>
          <w:rtl/>
        </w:rPr>
        <w:t xml:space="preserve">  </w:t>
      </w:r>
    </w:p>
    <w:p w:rsidR="00FC6EA0" w:rsidRPr="002D5621" w:rsidRDefault="00FC6EA0" w:rsidP="00963072">
      <w:pPr>
        <w:numPr>
          <w:ilvl w:val="0"/>
          <w:numId w:val="7"/>
        </w:numPr>
        <w:tabs>
          <w:tab w:val="left" w:pos="651"/>
        </w:tabs>
        <w:bidi/>
        <w:ind w:left="84" w:firstLine="0"/>
        <w:jc w:val="both"/>
        <w:rPr>
          <w:b/>
          <w:bCs/>
          <w:color w:val="000000" w:themeColor="text1"/>
          <w:u w:val="single"/>
        </w:rPr>
      </w:pPr>
      <w:r w:rsidRPr="002D5621">
        <w:rPr>
          <w:rFonts w:hint="cs"/>
          <w:b/>
          <w:bCs/>
          <w:color w:val="000000" w:themeColor="text1"/>
          <w:u w:val="single"/>
          <w:rtl/>
        </w:rPr>
        <w:t>מכירת דירה נוספת מיום 1.1.2018 ואילך,</w:t>
      </w:r>
      <w:r w:rsidRPr="002D5621">
        <w:rPr>
          <w:rFonts w:hint="cs"/>
          <w:color w:val="000000" w:themeColor="text1"/>
          <w:rtl/>
        </w:rPr>
        <w:t xml:space="preserve"> תהיה חייבת במס שבח בשיעור 25% על חלק השבח הריאלי היחסי לתקופת הבעלות בדירה מיום 1.1.2014 ועד יום המכירה, ופטור ממס שבח מיום הרכישה ועד ליום 31.12.2013.</w:t>
      </w:r>
    </w:p>
    <w:p w:rsidR="00FC6EA0" w:rsidRPr="002D5621" w:rsidRDefault="00FC6EA0" w:rsidP="00963072">
      <w:pPr>
        <w:numPr>
          <w:ilvl w:val="0"/>
          <w:numId w:val="7"/>
        </w:numPr>
        <w:tabs>
          <w:tab w:val="left" w:pos="651"/>
        </w:tabs>
        <w:bidi/>
        <w:ind w:left="84" w:firstLine="0"/>
        <w:jc w:val="both"/>
        <w:rPr>
          <w:b/>
          <w:bCs/>
          <w:color w:val="000000" w:themeColor="text1"/>
          <w:u w:val="single"/>
        </w:rPr>
      </w:pPr>
      <w:r w:rsidRPr="002D5621">
        <w:rPr>
          <w:rFonts w:hint="cs"/>
          <w:b/>
          <w:bCs/>
          <w:color w:val="000000" w:themeColor="text1"/>
          <w:u w:val="single"/>
          <w:rtl/>
        </w:rPr>
        <w:t>מתן זכות במקרקעין לרבות דירה במתנה ללא תמורה מיחיד לקרובו,</w:t>
      </w:r>
      <w:r w:rsidRPr="002D5621">
        <w:rPr>
          <w:rFonts w:hint="cs"/>
          <w:color w:val="000000" w:themeColor="text1"/>
          <w:rtl/>
        </w:rPr>
        <w:t xml:space="preserve"> תהא פטורה ממס רק בהעברה לבן זוג, הורה, הורי הורה, צאצא, צאצאי בן זוג ובני זוגם, וכן בהעברה לאח או אחות רק לגבי זכות שקיבלו מהורה או הורי הורה בלא תמורה או בירושה. בתחולה מיום 1.8.2013 (62).</w:t>
      </w:r>
    </w:p>
    <w:p w:rsidR="00FC6EA0" w:rsidRPr="002D5621" w:rsidRDefault="00FC6EA0" w:rsidP="00963072">
      <w:pPr>
        <w:numPr>
          <w:ilvl w:val="0"/>
          <w:numId w:val="7"/>
        </w:numPr>
        <w:tabs>
          <w:tab w:val="left" w:pos="651"/>
        </w:tabs>
        <w:bidi/>
        <w:ind w:left="84" w:firstLine="0"/>
        <w:jc w:val="both"/>
        <w:rPr>
          <w:b/>
          <w:bCs/>
          <w:color w:val="000000" w:themeColor="text1"/>
          <w:u w:val="single"/>
        </w:rPr>
      </w:pPr>
      <w:r w:rsidRPr="002D5621">
        <w:rPr>
          <w:rFonts w:hint="cs"/>
          <w:b/>
          <w:bCs/>
          <w:color w:val="000000" w:themeColor="text1"/>
          <w:u w:val="single"/>
          <w:rtl/>
        </w:rPr>
        <w:lastRenderedPageBreak/>
        <w:t>במכר דירה שהתקבלה במתנה,</w:t>
      </w:r>
      <w:r w:rsidRPr="002D5621">
        <w:rPr>
          <w:rFonts w:hint="cs"/>
          <w:color w:val="000000" w:themeColor="text1"/>
          <w:rtl/>
        </w:rPr>
        <w:t xml:space="preserve"> מיום 1.8.2013 עד 31.12.2013, יינתן הפטור ממס שבח במכירה בתקופת המעבר, בכפוף לתקופות הצינון כפי שהיו בתוקף בחוק טרם התיקון ויראו את נותן המתנה כמוכר לעניין תנאי המכר בתקופת המעבר עד ליום 31.12.2017. החל מיום 1.1.2014 תקופות הצינון יהיו לפי שלוש שנים אם הדירה שימשה דרך קבע למגורי המוכר, או ארבע שנים אם לא שימשה למגורי קבע של המוכר </w:t>
      </w:r>
    </w:p>
    <w:p w:rsidR="00FC6EA0" w:rsidRPr="002D5621" w:rsidRDefault="00FC6EA0" w:rsidP="00963072">
      <w:pPr>
        <w:numPr>
          <w:ilvl w:val="0"/>
          <w:numId w:val="7"/>
        </w:numPr>
        <w:tabs>
          <w:tab w:val="left" w:pos="651"/>
        </w:tabs>
        <w:bidi/>
        <w:ind w:left="84" w:firstLine="0"/>
        <w:jc w:val="both"/>
        <w:rPr>
          <w:b/>
          <w:bCs/>
          <w:color w:val="000000" w:themeColor="text1"/>
          <w:u w:val="single"/>
        </w:rPr>
      </w:pPr>
      <w:r w:rsidRPr="002D5621">
        <w:rPr>
          <w:rFonts w:hint="cs"/>
          <w:b/>
          <w:bCs/>
          <w:color w:val="000000" w:themeColor="text1"/>
          <w:u w:val="single"/>
          <w:rtl/>
        </w:rPr>
        <w:t xml:space="preserve">פטור בגין דירה שהתקבלה בירושה ותימכר מיום 1.1.2014 </w:t>
      </w:r>
      <w:proofErr w:type="spellStart"/>
      <w:r w:rsidRPr="002D5621">
        <w:rPr>
          <w:rFonts w:hint="cs"/>
          <w:b/>
          <w:bCs/>
          <w:color w:val="000000" w:themeColor="text1"/>
          <w:u w:val="single"/>
          <w:rtl/>
        </w:rPr>
        <w:t>ןאילך</w:t>
      </w:r>
      <w:proofErr w:type="spellEnd"/>
      <w:r w:rsidRPr="002D5621">
        <w:rPr>
          <w:rFonts w:hint="cs"/>
          <w:b/>
          <w:bCs/>
          <w:color w:val="000000" w:themeColor="text1"/>
          <w:u w:val="single"/>
          <w:rtl/>
        </w:rPr>
        <w:t>,</w:t>
      </w:r>
      <w:r w:rsidRPr="002D5621">
        <w:rPr>
          <w:rFonts w:hint="cs"/>
          <w:color w:val="000000" w:themeColor="text1"/>
          <w:rtl/>
        </w:rPr>
        <w:t xml:space="preserve"> כאשר המוכר הוא בן זוגו של המוריש, או צאצא שלו, או בן זוג של צאצא ולפני פטירתו היה המוריש בעלה של דירת מגורים אחת בלבד, יינתן עד תקרת שווי מכירה בסך של 4.5 מיליון ₪. שווי מכירה מעל התקרה </w:t>
      </w:r>
      <w:proofErr w:type="spellStart"/>
      <w:r w:rsidRPr="002D5621">
        <w:rPr>
          <w:rFonts w:hint="cs"/>
          <w:color w:val="000000" w:themeColor="text1"/>
          <w:rtl/>
        </w:rPr>
        <w:t>יחוייב</w:t>
      </w:r>
      <w:proofErr w:type="spellEnd"/>
      <w:r w:rsidRPr="002D5621">
        <w:rPr>
          <w:rFonts w:hint="cs"/>
          <w:color w:val="000000" w:themeColor="text1"/>
          <w:rtl/>
        </w:rPr>
        <w:t xml:space="preserve"> במס שבח יחסי רק לתקופה שמיום 1.1.2014 ואילך. </w:t>
      </w:r>
      <w:r w:rsidRPr="002D5621">
        <w:rPr>
          <w:rFonts w:hint="cs"/>
          <w:b/>
          <w:bCs/>
          <w:color w:val="000000" w:themeColor="text1"/>
          <w:u w:val="single"/>
          <w:rtl/>
        </w:rPr>
        <w:t xml:space="preserve"> </w:t>
      </w:r>
    </w:p>
    <w:p w:rsidR="00FC6EA0" w:rsidRPr="002D5621" w:rsidRDefault="00FC6EA0" w:rsidP="00963072">
      <w:pPr>
        <w:numPr>
          <w:ilvl w:val="0"/>
          <w:numId w:val="7"/>
        </w:numPr>
        <w:tabs>
          <w:tab w:val="left" w:pos="651"/>
        </w:tabs>
        <w:bidi/>
        <w:ind w:left="84" w:firstLine="0"/>
        <w:jc w:val="both"/>
        <w:rPr>
          <w:color w:val="000000" w:themeColor="text1"/>
        </w:rPr>
      </w:pPr>
      <w:r w:rsidRPr="002D5621">
        <w:rPr>
          <w:rFonts w:hint="cs"/>
          <w:b/>
          <w:bCs/>
          <w:color w:val="000000" w:themeColor="text1"/>
          <w:u w:val="single"/>
          <w:rtl/>
        </w:rPr>
        <w:t>מכירת דירה בפטורים מיוחדים,</w:t>
      </w:r>
      <w:r w:rsidRPr="002D5621">
        <w:rPr>
          <w:rFonts w:hint="cs"/>
          <w:color w:val="000000" w:themeColor="text1"/>
          <w:rtl/>
        </w:rPr>
        <w:t xml:space="preserve"> פטור ל-"מוסד ציבורי" (49ב(6)) יוגבל גם הוא עד 4.5 מיליון ₪ במכר מיום 1.1.2014 ואילך. ימשיך הפטור לזכויות בנייה נלוות לדירה עד התקרה (49ז) וימשיך הפטור החד-פעמי במכירת שתי דירות כנגד רכישת דירה אחת חלופית עד התקרה (49ה) בכפוף לשינויי תנאים שנעשה בפטור חד-פעמי ספציפי זה. במכר דירה בעסקת קומבינציה יינתן רק פטור יחסי בהתאם לשיעור המכר החלקי.</w:t>
      </w:r>
    </w:p>
    <w:p w:rsidR="00FC6EA0" w:rsidRPr="002D5621" w:rsidRDefault="00FC6EA0" w:rsidP="00963072">
      <w:pPr>
        <w:bidi/>
        <w:ind w:left="84"/>
        <w:jc w:val="both"/>
        <w:rPr>
          <w:color w:val="000000" w:themeColor="text1"/>
          <w:rtl/>
        </w:rPr>
      </w:pPr>
      <w:r w:rsidRPr="002D5621">
        <w:rPr>
          <w:rFonts w:hint="cs"/>
          <w:color w:val="000000" w:themeColor="text1"/>
          <w:rtl/>
        </w:rPr>
        <w:t xml:space="preserve">הרפורמה כמתואר לעיל, מטילה מס שבח בשיעור של 25% על הרווחים ממימוש דירות השקעה משנת 2014 ואילך, לרבות </w:t>
      </w:r>
      <w:r w:rsidRPr="002D5621">
        <w:rPr>
          <w:rFonts w:hint="cs"/>
          <w:b/>
          <w:bCs/>
          <w:color w:val="000000" w:themeColor="text1"/>
          <w:rtl/>
        </w:rPr>
        <w:t>מס רטרואקטיבי</w:t>
      </w:r>
      <w:r w:rsidRPr="002D5621">
        <w:rPr>
          <w:rFonts w:hint="cs"/>
          <w:color w:val="000000" w:themeColor="text1"/>
          <w:rtl/>
        </w:rPr>
        <w:t xml:space="preserve"> ככל שעליית ערך הדירה בשנים הבאות תהיה נמוכה מזו שהייתה בשנים קודמות. מדובר במהפכה של ממש לעומת המצב הנוכחי שבו ניתן היה לתמרן כך שבמכירת דירות השקעה יהיה פטור ממס. נטל המס האפקטיבי בשוק הדירות יהיה גבוה באופן משמעותי מאשר המס המוטל על אפיקי השקעה אחרים כגון על רווחי הון בשוק ההון בשל מס הרכישה המוגדל המוטל ברכישת דירה נוספת. כך שהשבח היחסי החייב במס ילך ויגדל משנה לשנה. זאת בנוסף לעלויות הנוספות למשפטיות, תיווך ותחזוקה הנדרשים בשוק דירות ההשקעה שאינן קיימות בשווקי השקעות הון אחרות. </w:t>
      </w:r>
    </w:p>
    <w:p w:rsidR="00FC6EA0" w:rsidRPr="002D5621" w:rsidRDefault="00FC6EA0" w:rsidP="00963072">
      <w:pPr>
        <w:bidi/>
        <w:ind w:left="84"/>
        <w:jc w:val="both"/>
        <w:rPr>
          <w:color w:val="000000" w:themeColor="text1"/>
          <w:rtl/>
        </w:rPr>
      </w:pPr>
      <w:r w:rsidRPr="002D5621">
        <w:rPr>
          <w:rFonts w:hint="cs"/>
          <w:color w:val="000000" w:themeColor="text1"/>
          <w:rtl/>
        </w:rPr>
        <w:t xml:space="preserve">כל החזקה מתמשכת בדירת מגורים תגרום לנזק מס כפול, האחד, עקב גידול התקופה היחסית של החזקת הדירה שבה כבר אין פטור ממס שבח. השני, ככל שהדירה מושכרת, עקב הקטנת שווי הרכישה עקב החובה לקזז ממנו פחת שנתי.  </w:t>
      </w:r>
    </w:p>
    <w:p w:rsidR="00FC6EA0" w:rsidRPr="002D5621" w:rsidRDefault="00FC6EA0" w:rsidP="00963072">
      <w:pPr>
        <w:bidi/>
        <w:ind w:left="84"/>
        <w:jc w:val="both"/>
        <w:rPr>
          <w:color w:val="000000" w:themeColor="text1"/>
          <w:rtl/>
        </w:rPr>
      </w:pPr>
      <w:r w:rsidRPr="002D5621">
        <w:rPr>
          <w:rFonts w:hint="cs"/>
          <w:color w:val="000000" w:themeColor="text1"/>
          <w:rtl/>
        </w:rPr>
        <w:t xml:space="preserve">פועל יוצא מאלו, הוא כי כדאי לנצל את חלון הזמן עד לסוף שנת 2013, כדי לתכנן ולשקול ניצול הפטורים הישנים ממס שבח לפני הטלת המס החל מיום 1.1.2014 ואילך, הכול בהתאם לנסיבות הרכישה, ההשבחות, העלויות, הפחת, ההפסדים הניתנים לניצול </w:t>
      </w:r>
      <w:r w:rsidRPr="002D5621">
        <w:rPr>
          <w:rFonts w:hint="cs"/>
          <w:color w:val="000000" w:themeColor="text1"/>
          <w:rtl/>
        </w:rPr>
        <w:lastRenderedPageBreak/>
        <w:t xml:space="preserve">כנגד השבח, האפשרויות לפריסת מס השבח ועוד </w:t>
      </w:r>
      <w:proofErr w:type="spellStart"/>
      <w:r w:rsidRPr="002D5621">
        <w:rPr>
          <w:rFonts w:hint="cs"/>
          <w:color w:val="000000" w:themeColor="text1"/>
          <w:rtl/>
        </w:rPr>
        <w:t>ועוד</w:t>
      </w:r>
      <w:proofErr w:type="spellEnd"/>
      <w:r w:rsidRPr="002D5621">
        <w:rPr>
          <w:rFonts w:hint="cs"/>
          <w:color w:val="000000" w:themeColor="text1"/>
          <w:rtl/>
        </w:rPr>
        <w:t xml:space="preserve"> היבטים נוספים שיש לקחת בחשבון מעתה בכל החלטה לגבי השקעה בשוק הדירות. </w:t>
      </w:r>
    </w:p>
    <w:p w:rsidR="00FC6EA0" w:rsidRPr="002D5621" w:rsidRDefault="00360EF8" w:rsidP="00963072">
      <w:pPr>
        <w:bidi/>
        <w:spacing w:before="120"/>
        <w:jc w:val="both"/>
        <w:rPr>
          <w:b/>
          <w:bCs/>
          <w:color w:val="000000" w:themeColor="text1"/>
          <w:sz w:val="18"/>
          <w:szCs w:val="18"/>
          <w:rtl/>
        </w:rPr>
      </w:pPr>
      <w:hyperlink w:history="1">
        <w:r w:rsidR="00FC6EA0" w:rsidRPr="002D5621">
          <w:rPr>
            <w:rStyle w:val="Hyperlink"/>
            <w:rFonts w:hint="cs"/>
            <w:color w:val="000000" w:themeColor="text1"/>
            <w:sz w:val="18"/>
            <w:szCs w:val="18"/>
            <w:rtl/>
          </w:rPr>
          <w:t xml:space="preserve">האמור לעיל, אינו כולל את כל הכללים והתנאים לקבלת פטור או לחבות בגין מכר דירות מגורים. לכן, כדאי ורצוי </w:t>
        </w:r>
        <w:r w:rsidR="00FC6EA0" w:rsidRPr="002D5621">
          <w:rPr>
            <w:rStyle w:val="Hyperlink"/>
            <w:rFonts w:hint="cs"/>
            <w:color w:val="000000" w:themeColor="text1"/>
            <w:sz w:val="18"/>
            <w:szCs w:val="18"/>
            <w:rtl/>
          </w:rPr>
          <w:lastRenderedPageBreak/>
          <w:t>לקבל ייעוץ פרטני לתכנוני מס, לבחינת כדאיות ההשקעה בשוק הדירות מעתה ולעתיד ולעריכת מאזן סיכוני המס הצפויים ותחשיב חבות המס שתחול</w:t>
        </w:r>
      </w:hyperlink>
      <w:r w:rsidR="00FC6EA0" w:rsidRPr="002D5621">
        <w:rPr>
          <w:rFonts w:hint="cs"/>
          <w:b/>
          <w:bCs/>
          <w:color w:val="000000" w:themeColor="text1"/>
          <w:sz w:val="18"/>
          <w:szCs w:val="18"/>
          <w:rtl/>
        </w:rPr>
        <w:t xml:space="preserve">. </w:t>
      </w:r>
      <w:hyperlink w:history="1">
        <w:r w:rsidR="00FC6EA0" w:rsidRPr="002D5621">
          <w:rPr>
            <w:rStyle w:val="Hyperlink"/>
            <w:rFonts w:hint="cs"/>
            <w:b/>
            <w:bCs/>
            <w:color w:val="000000" w:themeColor="text1"/>
            <w:sz w:val="18"/>
            <w:szCs w:val="18"/>
            <w:rtl/>
          </w:rPr>
          <w:t>רמי אריה עו"ד ורו"ח,</w:t>
        </w:r>
      </w:hyperlink>
      <w:r w:rsidR="00FC6EA0" w:rsidRPr="002D5621">
        <w:rPr>
          <w:rFonts w:hint="cs"/>
          <w:b/>
          <w:bCs/>
          <w:color w:val="000000" w:themeColor="text1"/>
          <w:sz w:val="18"/>
          <w:szCs w:val="18"/>
          <w:rtl/>
        </w:rPr>
        <w:t xml:space="preserve"> מיסים ועסקים בע"מ, טל' 073-2181818,    </w:t>
      </w:r>
      <w:hyperlink r:id="rId13" w:history="1">
        <w:r w:rsidR="00FC6EA0" w:rsidRPr="002D5621">
          <w:rPr>
            <w:rStyle w:val="Hyperlink"/>
            <w:b/>
            <w:bCs/>
            <w:color w:val="000000" w:themeColor="text1"/>
            <w:sz w:val="18"/>
            <w:szCs w:val="18"/>
          </w:rPr>
          <w:t>www.ralc.co.il</w:t>
        </w:r>
      </w:hyperlink>
    </w:p>
    <w:p w:rsidR="002D5621" w:rsidRDefault="002D5621" w:rsidP="00FC6EA0">
      <w:pPr>
        <w:bidi/>
        <w:spacing w:before="120"/>
        <w:ind w:left="323"/>
        <w:jc w:val="both"/>
        <w:rPr>
          <w:b/>
          <w:bCs/>
          <w:color w:val="000000" w:themeColor="text1"/>
          <w:sz w:val="22"/>
          <w:szCs w:val="22"/>
          <w:rtl/>
        </w:rPr>
        <w:sectPr w:rsidR="002D5621" w:rsidSect="002D5621">
          <w:type w:val="continuous"/>
          <w:pgSz w:w="11906" w:h="16838"/>
          <w:pgMar w:top="1079" w:right="1800" w:bottom="1258" w:left="1800" w:header="708" w:footer="708" w:gutter="0"/>
          <w:cols w:num="2" w:space="709"/>
          <w:titlePg/>
          <w:bidi/>
          <w:docGrid w:linePitch="360"/>
        </w:sectPr>
      </w:pPr>
    </w:p>
    <w:p w:rsidR="00FC6EA0" w:rsidRPr="002D5621" w:rsidRDefault="00FC6EA0" w:rsidP="00FC6EA0">
      <w:pPr>
        <w:bidi/>
        <w:spacing w:before="120"/>
        <w:ind w:left="323"/>
        <w:jc w:val="both"/>
        <w:rPr>
          <w:b/>
          <w:bCs/>
          <w:color w:val="000000" w:themeColor="text1"/>
          <w:szCs w:val="20"/>
          <w:rtl/>
        </w:rPr>
      </w:pPr>
      <w:r w:rsidRPr="002D5621">
        <w:rPr>
          <w:b/>
          <w:bCs/>
          <w:color w:val="000000" w:themeColor="text1"/>
          <w:sz w:val="22"/>
          <w:szCs w:val="22"/>
          <w:rtl/>
        </w:rPr>
        <w:lastRenderedPageBreak/>
        <w:t xml:space="preserve"> </w:t>
      </w:r>
    </w:p>
    <w:p w:rsidR="00FC6EA0" w:rsidRPr="002D5621" w:rsidRDefault="00FC6EA0" w:rsidP="00FC6EA0">
      <w:pPr>
        <w:shd w:val="clear" w:color="auto" w:fill="FFFFFF"/>
        <w:bidi/>
        <w:spacing w:before="124" w:line="203" w:lineRule="atLeast"/>
        <w:jc w:val="both"/>
        <w:rPr>
          <w:rFonts w:ascii="Arial" w:hAnsi="Arial"/>
          <w:b/>
          <w:bCs/>
          <w:color w:val="000000" w:themeColor="text1"/>
          <w:u w:val="single"/>
          <w:rtl/>
        </w:rPr>
      </w:pPr>
      <w:r w:rsidRPr="002D5621">
        <w:rPr>
          <w:rFonts w:ascii="Arial" w:hAnsi="Arial" w:hint="cs"/>
          <w:b/>
          <w:bCs/>
          <w:color w:val="000000" w:themeColor="text1"/>
          <w:u w:val="single"/>
          <w:rtl/>
        </w:rPr>
        <w:t xml:space="preserve">נספח - שיעורי מס רכישה שיחולו ברכישת דירות מגורים </w:t>
      </w:r>
    </w:p>
    <w:tbl>
      <w:tblPr>
        <w:bidiVisual/>
        <w:tblW w:w="90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10"/>
        <w:gridCol w:w="2655"/>
        <w:gridCol w:w="30"/>
        <w:gridCol w:w="585"/>
        <w:gridCol w:w="2400"/>
        <w:gridCol w:w="45"/>
        <w:gridCol w:w="60"/>
        <w:gridCol w:w="675"/>
      </w:tblGrid>
      <w:tr w:rsidR="002D5621" w:rsidRPr="002D5621" w:rsidTr="00604A3B">
        <w:trPr>
          <w:trHeight w:val="245"/>
          <w:tblCellSpacing w:w="0" w:type="dxa"/>
          <w:jc w:val="center"/>
        </w:trPr>
        <w:tc>
          <w:tcPr>
            <w:tcW w:w="2610"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b/>
                <w:bCs/>
                <w:color w:val="000000" w:themeColor="text1"/>
                <w:sz w:val="40"/>
                <w:szCs w:val="22"/>
              </w:rPr>
            </w:pPr>
            <w:r w:rsidRPr="002D5621">
              <w:rPr>
                <w:rFonts w:ascii="Verdana" w:hAnsi="Verdana"/>
                <w:b/>
                <w:bCs/>
                <w:color w:val="000000" w:themeColor="text1"/>
                <w:sz w:val="40"/>
                <w:szCs w:val="22"/>
                <w:rtl/>
              </w:rPr>
              <w:t>יום הרכישה</w:t>
            </w:r>
          </w:p>
        </w:tc>
        <w:tc>
          <w:tcPr>
            <w:tcW w:w="3270" w:type="dxa"/>
            <w:gridSpan w:val="3"/>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b/>
                <w:bCs/>
                <w:color w:val="000000" w:themeColor="text1"/>
                <w:sz w:val="40"/>
                <w:szCs w:val="22"/>
              </w:rPr>
            </w:pPr>
            <w:r w:rsidRPr="002D5621">
              <w:rPr>
                <w:rFonts w:ascii="Verdana" w:hAnsi="Verdana"/>
                <w:b/>
                <w:bCs/>
                <w:color w:val="000000" w:themeColor="text1"/>
                <w:sz w:val="40"/>
                <w:szCs w:val="22"/>
                <w:rtl/>
              </w:rPr>
              <w:t>דירה נוספת</w:t>
            </w:r>
            <w:r w:rsidRPr="002D5621">
              <w:rPr>
                <w:rFonts w:ascii="Verdana" w:hAnsi="Verdana" w:hint="cs"/>
                <w:b/>
                <w:bCs/>
                <w:color w:val="000000" w:themeColor="text1"/>
                <w:sz w:val="40"/>
                <w:szCs w:val="22"/>
                <w:rtl/>
              </w:rPr>
              <w:t xml:space="preserve"> או דירה בידי תאגיד</w:t>
            </w:r>
          </w:p>
        </w:tc>
        <w:tc>
          <w:tcPr>
            <w:tcW w:w="3180" w:type="dxa"/>
            <w:gridSpan w:val="4"/>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b/>
                <w:bCs/>
                <w:color w:val="000000" w:themeColor="text1"/>
                <w:sz w:val="40"/>
                <w:szCs w:val="22"/>
              </w:rPr>
            </w:pPr>
            <w:r w:rsidRPr="002D5621">
              <w:rPr>
                <w:rFonts w:ascii="Verdana" w:hAnsi="Verdana"/>
                <w:b/>
                <w:bCs/>
                <w:color w:val="000000" w:themeColor="text1"/>
                <w:sz w:val="40"/>
                <w:szCs w:val="22"/>
                <w:rtl/>
              </w:rPr>
              <w:t>דירה יחידה</w:t>
            </w:r>
            <w:r w:rsidRPr="002D5621">
              <w:rPr>
                <w:rFonts w:ascii="Verdana" w:hAnsi="Verdana" w:hint="cs"/>
                <w:b/>
                <w:bCs/>
                <w:color w:val="000000" w:themeColor="text1"/>
                <w:sz w:val="40"/>
                <w:szCs w:val="22"/>
                <w:rtl/>
              </w:rPr>
              <w:t xml:space="preserve"> בידי יחיד</w:t>
            </w:r>
          </w:p>
        </w:tc>
      </w:tr>
      <w:tr w:rsidR="002D5621" w:rsidRPr="002D5621" w:rsidTr="00604A3B">
        <w:trPr>
          <w:tblCellSpacing w:w="0" w:type="dxa"/>
          <w:jc w:val="center"/>
        </w:trPr>
        <w:tc>
          <w:tcPr>
            <w:tcW w:w="2610" w:type="dxa"/>
            <w:vMerge w:val="restart"/>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b/>
                <w:bCs/>
                <w:color w:val="000000" w:themeColor="text1"/>
                <w:sz w:val="40"/>
                <w:szCs w:val="22"/>
              </w:rPr>
            </w:pPr>
            <w:r w:rsidRPr="002D5621">
              <w:rPr>
                <w:rFonts w:ascii="Verdana" w:hAnsi="Verdana" w:hint="cs"/>
                <w:b/>
                <w:bCs/>
                <w:color w:val="000000" w:themeColor="text1"/>
                <w:sz w:val="40"/>
                <w:szCs w:val="22"/>
                <w:rtl/>
              </w:rPr>
              <w:t>6.5.2013-31.7.2013</w:t>
            </w:r>
          </w:p>
        </w:tc>
        <w:tc>
          <w:tcPr>
            <w:tcW w:w="265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1,089,350</w:t>
            </w:r>
          </w:p>
        </w:tc>
        <w:tc>
          <w:tcPr>
            <w:tcW w:w="61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5%</w:t>
            </w:r>
          </w:p>
        </w:tc>
        <w:tc>
          <w:tcPr>
            <w:tcW w:w="2400"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1,470,560</w:t>
            </w:r>
          </w:p>
        </w:tc>
        <w:tc>
          <w:tcPr>
            <w:tcW w:w="780" w:type="dxa"/>
            <w:gridSpan w:val="3"/>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0%</w:t>
            </w:r>
          </w:p>
        </w:tc>
      </w:tr>
      <w:tr w:rsidR="002D5621" w:rsidRPr="002D5621" w:rsidTr="00604A3B">
        <w:trPr>
          <w:trHeight w:val="142"/>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5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3,268,040 – 1,089,350</w:t>
            </w:r>
          </w:p>
        </w:tc>
        <w:tc>
          <w:tcPr>
            <w:tcW w:w="61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6%</w:t>
            </w:r>
          </w:p>
        </w:tc>
        <w:tc>
          <w:tcPr>
            <w:tcW w:w="2400"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1,744,270 – 1,470,560</w:t>
            </w:r>
          </w:p>
        </w:tc>
        <w:tc>
          <w:tcPr>
            <w:tcW w:w="780" w:type="dxa"/>
            <w:gridSpan w:val="3"/>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3.5%</w:t>
            </w:r>
          </w:p>
        </w:tc>
      </w:tr>
      <w:tr w:rsidR="002D5621" w:rsidRPr="002D5621" w:rsidTr="00604A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5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3,268,040</w:t>
            </w:r>
          </w:p>
        </w:tc>
        <w:tc>
          <w:tcPr>
            <w:tcW w:w="61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7%</w:t>
            </w:r>
          </w:p>
        </w:tc>
        <w:tc>
          <w:tcPr>
            <w:tcW w:w="2400"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1,744,270</w:t>
            </w:r>
          </w:p>
        </w:tc>
        <w:tc>
          <w:tcPr>
            <w:tcW w:w="780" w:type="dxa"/>
            <w:gridSpan w:val="3"/>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5%</w:t>
            </w:r>
          </w:p>
        </w:tc>
      </w:tr>
      <w:tr w:rsidR="002D5621" w:rsidRPr="002D5621" w:rsidTr="00604A3B">
        <w:trPr>
          <w:tblCellSpacing w:w="0" w:type="dxa"/>
          <w:jc w:val="center"/>
        </w:trPr>
        <w:tc>
          <w:tcPr>
            <w:tcW w:w="2610" w:type="dxa"/>
            <w:vMerge w:val="restart"/>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b/>
                <w:bCs/>
                <w:color w:val="000000" w:themeColor="text1"/>
                <w:sz w:val="40"/>
                <w:szCs w:val="22"/>
              </w:rPr>
            </w:pPr>
            <w:r w:rsidRPr="002D5621">
              <w:rPr>
                <w:rFonts w:ascii="Verdana" w:hAnsi="Verdana" w:hint="cs"/>
                <w:b/>
                <w:bCs/>
                <w:color w:val="000000" w:themeColor="text1"/>
                <w:sz w:val="40"/>
                <w:szCs w:val="22"/>
                <w:rtl/>
              </w:rPr>
              <w:t>1.8.2013-31.12.2014</w:t>
            </w:r>
          </w:p>
        </w:tc>
        <w:tc>
          <w:tcPr>
            <w:tcW w:w="3270" w:type="dxa"/>
            <w:gridSpan w:val="3"/>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 w:val="40"/>
                <w:szCs w:val="22"/>
                <w:rtl/>
              </w:rPr>
              <w:t>דירה נוספת או דירה יחידה</w:t>
            </w:r>
            <w:r w:rsidRPr="002D5621">
              <w:rPr>
                <w:rFonts w:ascii="Verdana" w:hAnsi="Verdana"/>
                <w:b/>
                <w:bCs/>
                <w:color w:val="000000" w:themeColor="text1"/>
                <w:sz w:val="40"/>
                <w:szCs w:val="22"/>
                <w:rtl/>
              </w:rPr>
              <w:br/>
              <w:t>בידי תושב חוץ</w:t>
            </w:r>
            <w:r w:rsidRPr="002D5621">
              <w:rPr>
                <w:rFonts w:ascii="Verdana" w:hAnsi="Verdana" w:hint="cs"/>
                <w:b/>
                <w:bCs/>
                <w:color w:val="000000" w:themeColor="text1"/>
                <w:sz w:val="40"/>
                <w:szCs w:val="22"/>
                <w:rtl/>
              </w:rPr>
              <w:t xml:space="preserve"> או תאגיד</w:t>
            </w:r>
          </w:p>
        </w:tc>
        <w:tc>
          <w:tcPr>
            <w:tcW w:w="3180" w:type="dxa"/>
            <w:gridSpan w:val="4"/>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 w:val="40"/>
                <w:szCs w:val="22"/>
                <w:rtl/>
              </w:rPr>
              <w:t>דירה יחידה בידי יחיד תושב ישראל</w:t>
            </w:r>
            <w:r w:rsidRPr="002D5621">
              <w:rPr>
                <w:rFonts w:ascii="Verdana" w:hAnsi="Verdana"/>
                <w:b/>
                <w:bCs/>
                <w:color w:val="000000" w:themeColor="text1"/>
                <w:szCs w:val="15"/>
                <w:rtl/>
              </w:rPr>
              <w:t xml:space="preserve"> </w:t>
            </w:r>
          </w:p>
        </w:tc>
      </w:tr>
      <w:tr w:rsidR="002D5621" w:rsidRPr="002D5621" w:rsidTr="00604A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5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1,089,350</w:t>
            </w:r>
          </w:p>
        </w:tc>
        <w:tc>
          <w:tcPr>
            <w:tcW w:w="61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5%</w:t>
            </w:r>
          </w:p>
        </w:tc>
        <w:tc>
          <w:tcPr>
            <w:tcW w:w="244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1,470,560</w:t>
            </w:r>
          </w:p>
        </w:tc>
        <w:tc>
          <w:tcPr>
            <w:tcW w:w="73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0%</w:t>
            </w:r>
          </w:p>
        </w:tc>
      </w:tr>
      <w:tr w:rsidR="002D5621" w:rsidRPr="002D5621" w:rsidTr="00604A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5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3,268,040 – 1,089,350</w:t>
            </w:r>
          </w:p>
        </w:tc>
        <w:tc>
          <w:tcPr>
            <w:tcW w:w="61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6%</w:t>
            </w:r>
          </w:p>
        </w:tc>
        <w:tc>
          <w:tcPr>
            <w:tcW w:w="244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1,744,270 – 1,470,560</w:t>
            </w:r>
          </w:p>
        </w:tc>
        <w:tc>
          <w:tcPr>
            <w:tcW w:w="73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3.5%</w:t>
            </w:r>
          </w:p>
        </w:tc>
      </w:tr>
      <w:tr w:rsidR="002D5621" w:rsidRPr="002D5621" w:rsidTr="00604A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5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4,500,000 – 3,268,040</w:t>
            </w:r>
          </w:p>
        </w:tc>
        <w:tc>
          <w:tcPr>
            <w:tcW w:w="61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7%</w:t>
            </w:r>
          </w:p>
        </w:tc>
        <w:tc>
          <w:tcPr>
            <w:tcW w:w="244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4,500,000 – 1,744,270</w:t>
            </w:r>
          </w:p>
        </w:tc>
        <w:tc>
          <w:tcPr>
            <w:tcW w:w="73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5%</w:t>
            </w:r>
          </w:p>
        </w:tc>
      </w:tr>
      <w:tr w:rsidR="002D5621" w:rsidRPr="002D5621" w:rsidTr="00604A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5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15,000,000 – 4,500,000</w:t>
            </w:r>
          </w:p>
        </w:tc>
        <w:tc>
          <w:tcPr>
            <w:tcW w:w="61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8%</w:t>
            </w:r>
          </w:p>
        </w:tc>
        <w:tc>
          <w:tcPr>
            <w:tcW w:w="244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15,000,000 – 4,500,000</w:t>
            </w:r>
          </w:p>
        </w:tc>
        <w:tc>
          <w:tcPr>
            <w:tcW w:w="73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8%</w:t>
            </w:r>
          </w:p>
        </w:tc>
      </w:tr>
      <w:tr w:rsidR="002D5621" w:rsidRPr="002D5621" w:rsidTr="00604A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5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מעל 15,000,000</w:t>
            </w:r>
          </w:p>
        </w:tc>
        <w:tc>
          <w:tcPr>
            <w:tcW w:w="61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10%</w:t>
            </w:r>
          </w:p>
        </w:tc>
        <w:tc>
          <w:tcPr>
            <w:tcW w:w="244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מעל 15,000,000</w:t>
            </w:r>
          </w:p>
        </w:tc>
        <w:tc>
          <w:tcPr>
            <w:tcW w:w="73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10%</w:t>
            </w:r>
          </w:p>
        </w:tc>
      </w:tr>
      <w:tr w:rsidR="002D5621" w:rsidRPr="002D5621" w:rsidTr="00604A3B">
        <w:trPr>
          <w:tblCellSpacing w:w="0" w:type="dxa"/>
          <w:jc w:val="center"/>
        </w:trPr>
        <w:tc>
          <w:tcPr>
            <w:tcW w:w="2610" w:type="dxa"/>
            <w:vMerge w:val="restart"/>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b/>
                <w:bCs/>
                <w:color w:val="000000" w:themeColor="text1"/>
                <w:sz w:val="40"/>
                <w:szCs w:val="22"/>
              </w:rPr>
            </w:pPr>
            <w:r w:rsidRPr="002D5621">
              <w:rPr>
                <w:rFonts w:ascii="Verdana" w:hAnsi="Verdana" w:hint="cs"/>
                <w:b/>
                <w:bCs/>
                <w:color w:val="000000" w:themeColor="text1"/>
                <w:sz w:val="40"/>
                <w:szCs w:val="22"/>
                <w:rtl/>
              </w:rPr>
              <w:t>החל מיום 1.1.2015 ואילך</w:t>
            </w:r>
          </w:p>
        </w:tc>
        <w:tc>
          <w:tcPr>
            <w:tcW w:w="3270" w:type="dxa"/>
            <w:gridSpan w:val="3"/>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b/>
                <w:bCs/>
                <w:color w:val="000000" w:themeColor="text1"/>
                <w:sz w:val="32"/>
                <w:szCs w:val="18"/>
              </w:rPr>
            </w:pPr>
            <w:r w:rsidRPr="002D5621">
              <w:rPr>
                <w:rFonts w:ascii="Verdana" w:hAnsi="Verdana"/>
                <w:b/>
                <w:bCs/>
                <w:color w:val="000000" w:themeColor="text1"/>
                <w:sz w:val="40"/>
                <w:szCs w:val="22"/>
                <w:rtl/>
              </w:rPr>
              <w:t>דירה נוספת או דירה יחידה</w:t>
            </w:r>
            <w:r w:rsidRPr="002D5621">
              <w:rPr>
                <w:rFonts w:ascii="Verdana" w:hAnsi="Verdana"/>
                <w:b/>
                <w:bCs/>
                <w:color w:val="000000" w:themeColor="text1"/>
                <w:sz w:val="40"/>
                <w:szCs w:val="22"/>
                <w:rtl/>
              </w:rPr>
              <w:br/>
              <w:t>בידי תושב חוץ</w:t>
            </w:r>
            <w:r w:rsidRPr="002D5621">
              <w:rPr>
                <w:rFonts w:ascii="Verdana" w:hAnsi="Verdana" w:hint="cs"/>
                <w:b/>
                <w:bCs/>
                <w:color w:val="000000" w:themeColor="text1"/>
                <w:sz w:val="40"/>
                <w:szCs w:val="22"/>
                <w:rtl/>
              </w:rPr>
              <w:t xml:space="preserve"> או תאגיד</w:t>
            </w:r>
          </w:p>
        </w:tc>
        <w:tc>
          <w:tcPr>
            <w:tcW w:w="3180" w:type="dxa"/>
            <w:gridSpan w:val="4"/>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b/>
                <w:bCs/>
                <w:color w:val="000000" w:themeColor="text1"/>
                <w:sz w:val="32"/>
                <w:szCs w:val="18"/>
              </w:rPr>
            </w:pPr>
            <w:r w:rsidRPr="002D5621">
              <w:rPr>
                <w:rFonts w:ascii="Verdana" w:hAnsi="Verdana"/>
                <w:b/>
                <w:bCs/>
                <w:color w:val="000000" w:themeColor="text1"/>
                <w:sz w:val="40"/>
                <w:szCs w:val="22"/>
                <w:rtl/>
              </w:rPr>
              <w:t>דירה יחידה בידי יחיד תושב ישראל</w:t>
            </w:r>
          </w:p>
        </w:tc>
      </w:tr>
      <w:tr w:rsidR="002D5621" w:rsidRPr="002D5621" w:rsidTr="00604A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8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1,055,935</w:t>
            </w:r>
          </w:p>
        </w:tc>
        <w:tc>
          <w:tcPr>
            <w:tcW w:w="58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3.5%</w:t>
            </w:r>
          </w:p>
        </w:tc>
        <w:tc>
          <w:tcPr>
            <w:tcW w:w="2505" w:type="dxa"/>
            <w:gridSpan w:val="3"/>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1,470,560</w:t>
            </w:r>
          </w:p>
        </w:tc>
        <w:tc>
          <w:tcPr>
            <w:tcW w:w="67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0%</w:t>
            </w:r>
          </w:p>
        </w:tc>
      </w:tr>
      <w:tr w:rsidR="002D5621" w:rsidRPr="002D5621" w:rsidTr="00604A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8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4,500,000 – 1,055,935</w:t>
            </w:r>
          </w:p>
        </w:tc>
        <w:tc>
          <w:tcPr>
            <w:tcW w:w="58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5%</w:t>
            </w:r>
          </w:p>
        </w:tc>
        <w:tc>
          <w:tcPr>
            <w:tcW w:w="2505" w:type="dxa"/>
            <w:gridSpan w:val="3"/>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1,744,270 – 1,470,560</w:t>
            </w:r>
          </w:p>
        </w:tc>
        <w:tc>
          <w:tcPr>
            <w:tcW w:w="67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3.5%</w:t>
            </w:r>
          </w:p>
        </w:tc>
      </w:tr>
      <w:tr w:rsidR="002D5621" w:rsidRPr="002D5621" w:rsidTr="00604A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8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15,000,000 – 4,500,000</w:t>
            </w:r>
          </w:p>
        </w:tc>
        <w:tc>
          <w:tcPr>
            <w:tcW w:w="58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8%</w:t>
            </w:r>
          </w:p>
        </w:tc>
        <w:tc>
          <w:tcPr>
            <w:tcW w:w="2505" w:type="dxa"/>
            <w:gridSpan w:val="3"/>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4,500,000 – 1,744,270</w:t>
            </w:r>
          </w:p>
        </w:tc>
        <w:tc>
          <w:tcPr>
            <w:tcW w:w="67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5%</w:t>
            </w:r>
          </w:p>
        </w:tc>
      </w:tr>
      <w:tr w:rsidR="002D5621" w:rsidRPr="002D5621" w:rsidTr="00604A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8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מעל 15,000,000</w:t>
            </w:r>
          </w:p>
        </w:tc>
        <w:tc>
          <w:tcPr>
            <w:tcW w:w="58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10%</w:t>
            </w:r>
          </w:p>
        </w:tc>
        <w:tc>
          <w:tcPr>
            <w:tcW w:w="2505" w:type="dxa"/>
            <w:gridSpan w:val="3"/>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15,000,000 – 4,500,000</w:t>
            </w:r>
          </w:p>
        </w:tc>
        <w:tc>
          <w:tcPr>
            <w:tcW w:w="67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8%</w:t>
            </w:r>
          </w:p>
        </w:tc>
      </w:tr>
      <w:tr w:rsidR="002D5621" w:rsidRPr="002D5621" w:rsidTr="00604A3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FC6EA0" w:rsidRPr="002D5621" w:rsidRDefault="00FC6EA0" w:rsidP="00FC6EA0">
            <w:pPr>
              <w:bidi/>
              <w:jc w:val="both"/>
              <w:rPr>
                <w:rFonts w:ascii="Verdana" w:hAnsi="Verdana"/>
                <w:color w:val="000000" w:themeColor="text1"/>
                <w:sz w:val="15"/>
                <w:szCs w:val="15"/>
              </w:rPr>
            </w:pPr>
          </w:p>
        </w:tc>
        <w:tc>
          <w:tcPr>
            <w:tcW w:w="2685" w:type="dxa"/>
            <w:gridSpan w:val="2"/>
            <w:tcBorders>
              <w:top w:val="outset" w:sz="6" w:space="0" w:color="auto"/>
              <w:left w:val="outset" w:sz="6" w:space="0" w:color="auto"/>
              <w:bottom w:val="outset" w:sz="6" w:space="0" w:color="auto"/>
              <w:right w:val="outset" w:sz="6" w:space="0" w:color="auto"/>
            </w:tcBorders>
          </w:tcPr>
          <w:p w:rsidR="00FC6EA0" w:rsidRPr="002D5621" w:rsidRDefault="00FC6EA0" w:rsidP="00FC6EA0">
            <w:pPr>
              <w:bidi/>
              <w:jc w:val="both"/>
              <w:rPr>
                <w:rFonts w:ascii="Verdana" w:hAnsi="Verdana"/>
                <w:color w:val="000000" w:themeColor="text1"/>
                <w:sz w:val="15"/>
                <w:szCs w:val="15"/>
              </w:rPr>
            </w:pPr>
          </w:p>
        </w:tc>
        <w:tc>
          <w:tcPr>
            <w:tcW w:w="58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jc w:val="both"/>
              <w:rPr>
                <w:rFonts w:ascii="Verdana" w:hAnsi="Verdana"/>
                <w:color w:val="000000" w:themeColor="text1"/>
                <w:sz w:val="15"/>
                <w:szCs w:val="15"/>
              </w:rPr>
            </w:pPr>
          </w:p>
        </w:tc>
        <w:tc>
          <w:tcPr>
            <w:tcW w:w="2505" w:type="dxa"/>
            <w:gridSpan w:val="3"/>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מעל 15,000,000</w:t>
            </w:r>
          </w:p>
        </w:tc>
        <w:tc>
          <w:tcPr>
            <w:tcW w:w="675" w:type="dxa"/>
            <w:tcBorders>
              <w:top w:val="outset" w:sz="6" w:space="0" w:color="auto"/>
              <w:left w:val="outset" w:sz="6" w:space="0" w:color="auto"/>
              <w:bottom w:val="outset" w:sz="6" w:space="0" w:color="auto"/>
              <w:right w:val="outset" w:sz="6" w:space="0" w:color="auto"/>
            </w:tcBorders>
          </w:tcPr>
          <w:p w:rsidR="00FC6EA0" w:rsidRPr="002D5621" w:rsidRDefault="00FC6EA0" w:rsidP="00FC6EA0">
            <w:pPr>
              <w:bidi/>
              <w:spacing w:before="124"/>
              <w:jc w:val="both"/>
              <w:rPr>
                <w:rFonts w:ascii="Verdana" w:hAnsi="Verdana"/>
                <w:color w:val="000000" w:themeColor="text1"/>
                <w:sz w:val="15"/>
                <w:szCs w:val="15"/>
              </w:rPr>
            </w:pPr>
            <w:r w:rsidRPr="002D5621">
              <w:rPr>
                <w:rFonts w:ascii="Verdana" w:hAnsi="Verdana"/>
                <w:b/>
                <w:bCs/>
                <w:color w:val="000000" w:themeColor="text1"/>
                <w:szCs w:val="15"/>
                <w:rtl/>
              </w:rPr>
              <w:t>10%</w:t>
            </w:r>
          </w:p>
        </w:tc>
      </w:tr>
    </w:tbl>
    <w:p w:rsidR="00FC6EA0" w:rsidRPr="002D5621" w:rsidRDefault="00FC6EA0" w:rsidP="00FC6EA0">
      <w:pPr>
        <w:bidi/>
        <w:jc w:val="both"/>
        <w:rPr>
          <w:color w:val="000000" w:themeColor="text1"/>
          <w:szCs w:val="20"/>
          <w:rtl/>
        </w:rPr>
      </w:pPr>
    </w:p>
    <w:p w:rsidR="00FC6EA0" w:rsidRPr="002D5621" w:rsidRDefault="00FC6EA0" w:rsidP="00FC6EA0">
      <w:pPr>
        <w:bidi/>
        <w:jc w:val="both"/>
        <w:rPr>
          <w:b/>
          <w:bCs/>
          <w:color w:val="000000" w:themeColor="text1"/>
          <w:sz w:val="28"/>
          <w:szCs w:val="28"/>
          <w:rtl/>
        </w:rPr>
      </w:pPr>
    </w:p>
    <w:p w:rsidR="008E519A" w:rsidRDefault="00993C05" w:rsidP="008E519A">
      <w:pPr>
        <w:bidi/>
        <w:jc w:val="center"/>
        <w:rPr>
          <w:b/>
          <w:bCs/>
          <w:sz w:val="32"/>
          <w:szCs w:val="32"/>
          <w:u w:val="single"/>
          <w:rtl/>
        </w:rPr>
      </w:pPr>
      <w:r w:rsidRPr="00993C05">
        <w:rPr>
          <w:rFonts w:hint="cs"/>
          <w:b/>
          <w:bCs/>
          <w:sz w:val="32"/>
          <w:szCs w:val="32"/>
          <w:u w:val="single"/>
          <w:rtl/>
        </w:rPr>
        <w:t>נדחתה</w:t>
      </w:r>
      <w:r w:rsidRPr="00993C05">
        <w:rPr>
          <w:b/>
          <w:bCs/>
          <w:sz w:val="32"/>
          <w:szCs w:val="32"/>
          <w:u w:val="single"/>
          <w:rtl/>
        </w:rPr>
        <w:t xml:space="preserve"> </w:t>
      </w:r>
      <w:r w:rsidRPr="00993C05">
        <w:rPr>
          <w:rFonts w:hint="cs"/>
          <w:b/>
          <w:bCs/>
          <w:sz w:val="32"/>
          <w:szCs w:val="32"/>
          <w:u w:val="single"/>
          <w:rtl/>
        </w:rPr>
        <w:t>תביעת</w:t>
      </w:r>
      <w:r w:rsidRPr="00993C05">
        <w:rPr>
          <w:b/>
          <w:bCs/>
          <w:sz w:val="32"/>
          <w:szCs w:val="32"/>
          <w:u w:val="single"/>
        </w:rPr>
        <w:t xml:space="preserve"> </w:t>
      </w:r>
      <w:r w:rsidRPr="00993C05">
        <w:rPr>
          <w:rFonts w:hint="cs"/>
          <w:b/>
          <w:bCs/>
          <w:sz w:val="32"/>
          <w:szCs w:val="32"/>
          <w:u w:val="single"/>
          <w:rtl/>
        </w:rPr>
        <w:t>פיצויים עבור עובדת</w:t>
      </w:r>
      <w:r w:rsidRPr="00993C05">
        <w:rPr>
          <w:b/>
          <w:bCs/>
          <w:sz w:val="32"/>
          <w:szCs w:val="32"/>
          <w:u w:val="single"/>
          <w:rtl/>
        </w:rPr>
        <w:t xml:space="preserve"> </w:t>
      </w:r>
      <w:r w:rsidRPr="00993C05">
        <w:rPr>
          <w:rFonts w:hint="cs"/>
          <w:b/>
          <w:bCs/>
          <w:sz w:val="32"/>
          <w:szCs w:val="32"/>
          <w:u w:val="single"/>
          <w:rtl/>
        </w:rPr>
        <w:t>שטענה</w:t>
      </w:r>
      <w:r w:rsidRPr="00993C05">
        <w:rPr>
          <w:b/>
          <w:bCs/>
          <w:sz w:val="32"/>
          <w:szCs w:val="32"/>
          <w:u w:val="single"/>
          <w:rtl/>
        </w:rPr>
        <w:t xml:space="preserve"> </w:t>
      </w:r>
      <w:r w:rsidRPr="00993C05">
        <w:rPr>
          <w:rFonts w:hint="cs"/>
          <w:b/>
          <w:bCs/>
          <w:sz w:val="32"/>
          <w:szCs w:val="32"/>
          <w:u w:val="single"/>
          <w:rtl/>
        </w:rPr>
        <w:t>כי</w:t>
      </w:r>
      <w:r w:rsidRPr="00993C05">
        <w:rPr>
          <w:b/>
          <w:bCs/>
          <w:sz w:val="32"/>
          <w:szCs w:val="32"/>
          <w:u w:val="single"/>
          <w:rtl/>
        </w:rPr>
        <w:t xml:space="preserve"> </w:t>
      </w:r>
      <w:r w:rsidRPr="00993C05">
        <w:rPr>
          <w:rFonts w:hint="cs"/>
          <w:b/>
          <w:bCs/>
          <w:sz w:val="32"/>
          <w:szCs w:val="32"/>
          <w:u w:val="single"/>
          <w:rtl/>
        </w:rPr>
        <w:t>פוטרה</w:t>
      </w:r>
      <w:r w:rsidRPr="00993C05">
        <w:rPr>
          <w:b/>
          <w:bCs/>
          <w:sz w:val="32"/>
          <w:szCs w:val="32"/>
          <w:u w:val="single"/>
          <w:rtl/>
        </w:rPr>
        <w:t xml:space="preserve"> </w:t>
      </w:r>
      <w:r w:rsidRPr="00993C05">
        <w:rPr>
          <w:rFonts w:hint="cs"/>
          <w:b/>
          <w:bCs/>
          <w:sz w:val="32"/>
          <w:szCs w:val="32"/>
          <w:u w:val="single"/>
          <w:rtl/>
        </w:rPr>
        <w:t>עקב</w:t>
      </w:r>
      <w:r w:rsidRPr="00993C05">
        <w:rPr>
          <w:b/>
          <w:bCs/>
          <w:sz w:val="32"/>
          <w:szCs w:val="32"/>
          <w:u w:val="single"/>
          <w:rtl/>
        </w:rPr>
        <w:t xml:space="preserve"> </w:t>
      </w:r>
    </w:p>
    <w:p w:rsidR="00993C05" w:rsidRPr="00993C05" w:rsidRDefault="00993C05" w:rsidP="008E519A">
      <w:pPr>
        <w:bidi/>
        <w:jc w:val="center"/>
        <w:rPr>
          <w:b/>
          <w:bCs/>
          <w:sz w:val="32"/>
          <w:szCs w:val="32"/>
          <w:u w:val="single"/>
        </w:rPr>
      </w:pPr>
      <w:r w:rsidRPr="00993C05">
        <w:rPr>
          <w:rFonts w:hint="cs"/>
          <w:b/>
          <w:bCs/>
          <w:sz w:val="32"/>
          <w:szCs w:val="32"/>
          <w:u w:val="single"/>
          <w:rtl/>
        </w:rPr>
        <w:t>טיפולי</w:t>
      </w:r>
      <w:r w:rsidRPr="00993C05">
        <w:rPr>
          <w:b/>
          <w:bCs/>
          <w:sz w:val="32"/>
          <w:szCs w:val="32"/>
          <w:u w:val="single"/>
          <w:rtl/>
        </w:rPr>
        <w:t xml:space="preserve"> </w:t>
      </w:r>
      <w:r w:rsidRPr="00993C05">
        <w:rPr>
          <w:rFonts w:hint="cs"/>
          <w:b/>
          <w:bCs/>
          <w:sz w:val="32"/>
          <w:szCs w:val="32"/>
          <w:u w:val="single"/>
          <w:rtl/>
        </w:rPr>
        <w:t>פוריות</w:t>
      </w:r>
    </w:p>
    <w:p w:rsidR="00E45319" w:rsidRDefault="00E45319" w:rsidP="00993C05">
      <w:pPr>
        <w:bidi/>
        <w:ind w:firstLine="26"/>
        <w:jc w:val="center"/>
        <w:rPr>
          <w:b/>
          <w:bCs/>
          <w:color w:val="000000" w:themeColor="text1"/>
          <w:sz w:val="28"/>
          <w:szCs w:val="28"/>
          <w:rtl/>
        </w:rPr>
      </w:pPr>
      <w:r w:rsidRPr="00E45319">
        <w:rPr>
          <w:rFonts w:hint="cs"/>
          <w:b/>
          <w:bCs/>
          <w:color w:val="000000" w:themeColor="text1"/>
          <w:sz w:val="28"/>
          <w:szCs w:val="28"/>
          <w:rtl/>
        </w:rPr>
        <w:t xml:space="preserve">אלי דורון, עו"ד; ירון </w:t>
      </w:r>
      <w:proofErr w:type="spellStart"/>
      <w:r w:rsidRPr="00E45319">
        <w:rPr>
          <w:rFonts w:hint="cs"/>
          <w:b/>
          <w:bCs/>
          <w:color w:val="000000" w:themeColor="text1"/>
          <w:sz w:val="28"/>
          <w:szCs w:val="28"/>
          <w:rtl/>
        </w:rPr>
        <w:t>טיקוצקי</w:t>
      </w:r>
      <w:proofErr w:type="spellEnd"/>
      <w:r w:rsidRPr="00E45319">
        <w:rPr>
          <w:rFonts w:hint="cs"/>
          <w:b/>
          <w:bCs/>
          <w:color w:val="000000" w:themeColor="text1"/>
          <w:sz w:val="28"/>
          <w:szCs w:val="28"/>
          <w:rtl/>
        </w:rPr>
        <w:t xml:space="preserve">, עו"ד (רו"ח) ; </w:t>
      </w:r>
      <w:r w:rsidR="00993C05">
        <w:rPr>
          <w:rFonts w:hint="cs"/>
          <w:b/>
          <w:bCs/>
          <w:color w:val="000000" w:themeColor="text1"/>
          <w:sz w:val="28"/>
          <w:szCs w:val="28"/>
          <w:rtl/>
        </w:rPr>
        <w:t xml:space="preserve">אור </w:t>
      </w:r>
      <w:proofErr w:type="spellStart"/>
      <w:r w:rsidR="00993C05">
        <w:rPr>
          <w:rFonts w:hint="cs"/>
          <w:b/>
          <w:bCs/>
          <w:color w:val="000000" w:themeColor="text1"/>
          <w:sz w:val="28"/>
          <w:szCs w:val="28"/>
          <w:rtl/>
        </w:rPr>
        <w:t>קרפנר</w:t>
      </w:r>
      <w:proofErr w:type="spellEnd"/>
      <w:r w:rsidRPr="00E45319">
        <w:rPr>
          <w:rFonts w:hint="cs"/>
          <w:b/>
          <w:bCs/>
          <w:color w:val="000000" w:themeColor="text1"/>
          <w:sz w:val="28"/>
          <w:szCs w:val="28"/>
          <w:rtl/>
        </w:rPr>
        <w:t>, משפטן</w:t>
      </w:r>
    </w:p>
    <w:p w:rsidR="00993C05" w:rsidRPr="00E45319" w:rsidRDefault="00993C05" w:rsidP="00993C05">
      <w:pPr>
        <w:bidi/>
        <w:ind w:firstLine="26"/>
        <w:jc w:val="center"/>
        <w:rPr>
          <w:b/>
          <w:bCs/>
          <w:color w:val="000000" w:themeColor="text1"/>
          <w:sz w:val="28"/>
          <w:szCs w:val="28"/>
          <w:rtl/>
        </w:rPr>
      </w:pPr>
    </w:p>
    <w:p w:rsidR="00993C05" w:rsidRDefault="00993C05" w:rsidP="00993C05">
      <w:pPr>
        <w:bidi/>
        <w:jc w:val="both"/>
        <w:rPr>
          <w:color w:val="252527"/>
          <w:rtl/>
        </w:rPr>
      </w:pPr>
    </w:p>
    <w:p w:rsidR="00993C05" w:rsidRDefault="00993C05" w:rsidP="00993C05">
      <w:pPr>
        <w:bidi/>
        <w:jc w:val="both"/>
        <w:rPr>
          <w:color w:val="252527"/>
          <w:rtl/>
        </w:rPr>
        <w:sectPr w:rsidR="00993C05" w:rsidSect="00E75AA4">
          <w:headerReference w:type="even" r:id="rId14"/>
          <w:headerReference w:type="default" r:id="rId15"/>
          <w:footerReference w:type="default" r:id="rId16"/>
          <w:footerReference w:type="first" r:id="rId17"/>
          <w:type w:val="continuous"/>
          <w:pgSz w:w="11906" w:h="16838"/>
          <w:pgMar w:top="1079" w:right="1800" w:bottom="1258" w:left="1800" w:header="708" w:footer="708" w:gutter="0"/>
          <w:cols w:space="720"/>
          <w:titlePg/>
          <w:bidi/>
          <w:docGrid w:linePitch="360"/>
        </w:sectPr>
      </w:pPr>
    </w:p>
    <w:p w:rsidR="00993C05" w:rsidRDefault="00993C05" w:rsidP="00993C05">
      <w:pPr>
        <w:bidi/>
        <w:jc w:val="both"/>
        <w:rPr>
          <w:color w:val="252527"/>
          <w:rtl/>
        </w:rPr>
      </w:pPr>
      <w:r>
        <w:rPr>
          <w:rFonts w:hint="cs"/>
          <w:color w:val="252527"/>
          <w:rtl/>
        </w:rPr>
        <w:lastRenderedPageBreak/>
        <w:t>טיפולי פוריות מוסדרים במסגרת סעיפים 7(ג)(4) ו- 7(ג1) לחוק עבודת נשים תשי"ד-1954, וקובעים תנאים לצורך טיפולי פוריות.</w:t>
      </w:r>
    </w:p>
    <w:p w:rsidR="00993C05" w:rsidRDefault="00993C05" w:rsidP="00993C05">
      <w:pPr>
        <w:bidi/>
        <w:jc w:val="both"/>
        <w:rPr>
          <w:color w:val="252527"/>
        </w:rPr>
      </w:pPr>
      <w:r>
        <w:rPr>
          <w:rFonts w:hint="cs"/>
          <w:color w:val="252527"/>
          <w:rtl/>
        </w:rPr>
        <w:t>בתי הדין קבעו כי עובד\ת שלא יקיים את התנאים, לא תקום לו ההגנה מפני פיטורים בתקופה זו ולבטח לא יקבל פיצויים במצב דברים בו יפטרוהו. התנאים, כדלהלן:</w:t>
      </w:r>
    </w:p>
    <w:p w:rsidR="00993C05" w:rsidRDefault="00993C05" w:rsidP="00993C05">
      <w:pPr>
        <w:pStyle w:val="ae"/>
        <w:numPr>
          <w:ilvl w:val="0"/>
          <w:numId w:val="12"/>
        </w:numPr>
        <w:bidi/>
        <w:jc w:val="both"/>
        <w:rPr>
          <w:color w:val="252527"/>
        </w:rPr>
      </w:pPr>
      <w:r>
        <w:rPr>
          <w:rFonts w:hint="cs"/>
          <w:color w:val="252527"/>
          <w:rtl/>
        </w:rPr>
        <w:t>מתן הודעה מראש על טיפולי פוריות.</w:t>
      </w:r>
    </w:p>
    <w:p w:rsidR="00993C05" w:rsidRDefault="00993C05" w:rsidP="00993C05">
      <w:pPr>
        <w:pStyle w:val="ae"/>
        <w:numPr>
          <w:ilvl w:val="0"/>
          <w:numId w:val="12"/>
        </w:numPr>
        <w:bidi/>
        <w:jc w:val="both"/>
        <w:rPr>
          <w:color w:val="252527"/>
        </w:rPr>
      </w:pPr>
      <w:r>
        <w:rPr>
          <w:rFonts w:hint="cs"/>
          <w:color w:val="252527"/>
          <w:rtl/>
        </w:rPr>
        <w:t>הצגת אישור רפואי בכתב מהרופא המטפל לגבי טיפולי הפוריות.</w:t>
      </w:r>
    </w:p>
    <w:p w:rsidR="00993C05" w:rsidRDefault="00993C05" w:rsidP="00993C05">
      <w:pPr>
        <w:pStyle w:val="ae"/>
        <w:numPr>
          <w:ilvl w:val="0"/>
          <w:numId w:val="12"/>
        </w:numPr>
        <w:bidi/>
        <w:jc w:val="both"/>
        <w:rPr>
          <w:color w:val="252527"/>
        </w:rPr>
      </w:pPr>
      <w:r>
        <w:rPr>
          <w:rFonts w:hint="cs"/>
          <w:color w:val="252527"/>
          <w:rtl/>
        </w:rPr>
        <w:t xml:space="preserve">אישור על כך שטיפולים אלו מחייבים היעדרותו מהעבודה. </w:t>
      </w:r>
    </w:p>
    <w:p w:rsidR="00993C05" w:rsidRDefault="00993C05" w:rsidP="00993C05">
      <w:pPr>
        <w:bidi/>
        <w:jc w:val="both"/>
        <w:rPr>
          <w:color w:val="252527"/>
        </w:rPr>
      </w:pPr>
      <w:r w:rsidRPr="00965FB7">
        <w:rPr>
          <w:color w:val="252527"/>
          <w:rtl/>
        </w:rPr>
        <w:t>המחוקק ביקש להגן על עובד</w:t>
      </w:r>
      <w:r>
        <w:rPr>
          <w:rFonts w:hint="cs"/>
          <w:color w:val="252527"/>
          <w:rtl/>
        </w:rPr>
        <w:t>\</w:t>
      </w:r>
      <w:r w:rsidRPr="00965FB7">
        <w:rPr>
          <w:color w:val="252527"/>
          <w:rtl/>
        </w:rPr>
        <w:t xml:space="preserve">ת, הנאלצים להעדר מעבודתם בגלל טיפולי פוריות, והתיר </w:t>
      </w:r>
      <w:r w:rsidRPr="00965FB7">
        <w:rPr>
          <w:rFonts w:hint="cs"/>
          <w:color w:val="252527"/>
          <w:rtl/>
        </w:rPr>
        <w:t xml:space="preserve">זאת </w:t>
      </w:r>
      <w:r w:rsidRPr="00965FB7">
        <w:rPr>
          <w:color w:val="252527"/>
          <w:rtl/>
        </w:rPr>
        <w:t>בהוראת חוק היעדרות. מנגד, ע</w:t>
      </w:r>
      <w:r>
        <w:rPr>
          <w:color w:val="252527"/>
          <w:rtl/>
        </w:rPr>
        <w:t xml:space="preserve">ומדת זכותו הניהולית של המעביד, </w:t>
      </w:r>
      <w:r w:rsidRPr="00965FB7">
        <w:rPr>
          <w:color w:val="252527"/>
          <w:rtl/>
        </w:rPr>
        <w:t xml:space="preserve">על כן, על מנת שלעובד תהיה הזכות להעדר בעקבות טיפולי הפוריות, עליו לקיים את התנאים </w:t>
      </w:r>
      <w:r w:rsidRPr="00965FB7">
        <w:rPr>
          <w:color w:val="252527"/>
          <w:rtl/>
        </w:rPr>
        <w:lastRenderedPageBreak/>
        <w:t>המקדמיים הק</w:t>
      </w:r>
      <w:r>
        <w:rPr>
          <w:rFonts w:hint="cs"/>
          <w:color w:val="252527"/>
          <w:rtl/>
        </w:rPr>
        <w:t>בו</w:t>
      </w:r>
      <w:r w:rsidRPr="00965FB7">
        <w:rPr>
          <w:color w:val="252527"/>
          <w:rtl/>
        </w:rPr>
        <w:t>עים בסעיף 7(ג)(4) לחוק עבודת נשים</w:t>
      </w:r>
      <w:r>
        <w:rPr>
          <w:rFonts w:hint="cs"/>
          <w:color w:val="252527"/>
          <w:rtl/>
        </w:rPr>
        <w:t xml:space="preserve"> כאמור. </w:t>
      </w:r>
    </w:p>
    <w:p w:rsidR="00993C05" w:rsidRDefault="00993C05" w:rsidP="00993C05">
      <w:pPr>
        <w:bidi/>
        <w:jc w:val="both"/>
        <w:rPr>
          <w:color w:val="252527"/>
          <w:rtl/>
        </w:rPr>
      </w:pPr>
      <w:r>
        <w:rPr>
          <w:rFonts w:hint="cs"/>
          <w:color w:val="252527"/>
          <w:rtl/>
        </w:rPr>
        <w:t xml:space="preserve">כמו כן, ע"פ </w:t>
      </w:r>
      <w:r w:rsidRPr="00965FB7">
        <w:rPr>
          <w:color w:val="252527"/>
          <w:rtl/>
        </w:rPr>
        <w:t>סעיף 9(ה) לחוק עבודת נש</w:t>
      </w:r>
      <w:r>
        <w:rPr>
          <w:color w:val="252527"/>
          <w:rtl/>
        </w:rPr>
        <w:t>ים, חל איסור על מעביד לפטר עובד</w:t>
      </w:r>
      <w:r w:rsidRPr="00965FB7">
        <w:rPr>
          <w:color w:val="252527"/>
          <w:rtl/>
        </w:rPr>
        <w:t xml:space="preserve"> העובר טיפולי פוריות לקראת ילדו הראשון או השני. </w:t>
      </w:r>
      <w:r>
        <w:rPr>
          <w:rFonts w:hint="cs"/>
          <w:color w:val="252527"/>
          <w:rtl/>
        </w:rPr>
        <w:t xml:space="preserve">אלא שבפסיקה הובהר כי </w:t>
      </w:r>
      <w:r w:rsidRPr="00502938">
        <w:rPr>
          <w:color w:val="252527"/>
          <w:rtl/>
        </w:rPr>
        <w:t xml:space="preserve">איסור פיטורים לפי סעיף 9(ה) לחוק עבודת נשים, חל בזיקה </w:t>
      </w:r>
      <w:r>
        <w:rPr>
          <w:rFonts w:hint="cs"/>
          <w:color w:val="252527"/>
          <w:rtl/>
        </w:rPr>
        <w:t xml:space="preserve">ממשית </w:t>
      </w:r>
      <w:r w:rsidRPr="00502938">
        <w:rPr>
          <w:color w:val="252527"/>
          <w:rtl/>
        </w:rPr>
        <w:t>ל"היעדרות" מן העבודה, ואין הוא חל על טיפולי פוריות שאינם מצריכים היעדרות מן העבודה.</w:t>
      </w:r>
    </w:p>
    <w:p w:rsidR="00993C05" w:rsidRDefault="00993C05" w:rsidP="00993C05">
      <w:pPr>
        <w:bidi/>
        <w:jc w:val="both"/>
        <w:rPr>
          <w:rFonts w:ascii="Arial" w:hAnsi="Arial" w:cs="Arial"/>
          <w:b/>
          <w:bCs/>
          <w:color w:val="000000"/>
          <w:sz w:val="18"/>
          <w:szCs w:val="18"/>
          <w:rtl/>
        </w:rPr>
      </w:pPr>
      <w:r>
        <w:rPr>
          <w:rFonts w:hint="cs"/>
          <w:color w:val="252527"/>
          <w:rtl/>
        </w:rPr>
        <w:t>בפסק דין שניתן לאחרונה</w:t>
      </w:r>
      <w:r w:rsidRPr="00E703DA">
        <w:rPr>
          <w:rFonts w:hint="cs"/>
          <w:color w:val="252527"/>
          <w:rtl/>
        </w:rPr>
        <w:t xml:space="preserve">, סע 50501-05-10 </w:t>
      </w:r>
      <w:r w:rsidRPr="00BE2485">
        <w:rPr>
          <w:rFonts w:hint="cs"/>
          <w:b/>
          <w:bCs/>
          <w:color w:val="252527"/>
          <w:rtl/>
        </w:rPr>
        <w:t xml:space="preserve">לירון ביטון נגד שחר </w:t>
      </w:r>
      <w:proofErr w:type="spellStart"/>
      <w:r w:rsidRPr="00BE2485">
        <w:rPr>
          <w:rFonts w:hint="cs"/>
          <w:b/>
          <w:bCs/>
          <w:color w:val="252527"/>
          <w:rtl/>
        </w:rPr>
        <w:t>שות</w:t>
      </w:r>
      <w:proofErr w:type="spellEnd"/>
      <w:r w:rsidRPr="00BE2485">
        <w:rPr>
          <w:rFonts w:hint="cs"/>
          <w:b/>
          <w:bCs/>
          <w:color w:val="252527"/>
          <w:rtl/>
        </w:rPr>
        <w:t>', חברה להנדסה אזרחית, בניה ותשתיות בע"</w:t>
      </w:r>
      <w:r w:rsidRPr="00E703DA">
        <w:rPr>
          <w:rFonts w:hint="cs"/>
          <w:color w:val="252527"/>
          <w:rtl/>
        </w:rPr>
        <w:t xml:space="preserve">מ, בית הדין האזורי לעבודה דחה תביעתה של עובדת לתשלום פיצויים, </w:t>
      </w:r>
      <w:r w:rsidR="008E519A">
        <w:rPr>
          <w:rFonts w:hint="cs"/>
          <w:color w:val="252527"/>
          <w:rtl/>
        </w:rPr>
        <w:t xml:space="preserve">אשר תבעה את מעבידה לשעבר </w:t>
      </w:r>
      <w:r w:rsidRPr="00E703DA">
        <w:rPr>
          <w:rFonts w:hint="cs"/>
          <w:color w:val="252527"/>
          <w:rtl/>
        </w:rPr>
        <w:t>בטענה כי פוטרה שלא כדין עקב טיפולי פוריות שעברה.</w:t>
      </w:r>
      <w:r>
        <w:rPr>
          <w:rFonts w:hint="cs"/>
          <w:color w:val="252527"/>
          <w:rtl/>
        </w:rPr>
        <w:t xml:space="preserve"> </w:t>
      </w:r>
    </w:p>
    <w:p w:rsidR="00993C05" w:rsidRPr="00502938" w:rsidRDefault="00993C05" w:rsidP="00993C05">
      <w:pPr>
        <w:bidi/>
        <w:jc w:val="both"/>
        <w:rPr>
          <w:color w:val="252527"/>
          <w:rtl/>
        </w:rPr>
      </w:pPr>
      <w:r>
        <w:rPr>
          <w:rFonts w:hint="cs"/>
          <w:color w:val="252527"/>
          <w:rtl/>
        </w:rPr>
        <w:t xml:space="preserve">נקבע כי </w:t>
      </w:r>
      <w:r w:rsidRPr="00965FB7">
        <w:rPr>
          <w:color w:val="252527"/>
          <w:rtl/>
        </w:rPr>
        <w:t>לעובד ניתנה חסינות מפני פיטורים אם הפיטורים נעשו בקשר עם ההיעדרות</w:t>
      </w:r>
      <w:r>
        <w:rPr>
          <w:rFonts w:hint="cs"/>
          <w:color w:val="252527"/>
          <w:rtl/>
        </w:rPr>
        <w:t>,</w:t>
      </w:r>
      <w:r w:rsidRPr="00965FB7">
        <w:rPr>
          <w:color w:val="252527"/>
          <w:rtl/>
        </w:rPr>
        <w:t xml:space="preserve"> </w:t>
      </w:r>
      <w:r>
        <w:rPr>
          <w:rFonts w:hint="cs"/>
          <w:color w:val="252527"/>
          <w:rtl/>
        </w:rPr>
        <w:t xml:space="preserve">כלומר </w:t>
      </w:r>
      <w:r w:rsidRPr="00965FB7">
        <w:rPr>
          <w:color w:val="252527"/>
          <w:rtl/>
        </w:rPr>
        <w:t xml:space="preserve">ההיעדרות </w:t>
      </w:r>
      <w:r>
        <w:rPr>
          <w:rFonts w:hint="cs"/>
          <w:color w:val="252527"/>
          <w:rtl/>
        </w:rPr>
        <w:t xml:space="preserve">מסוג זה </w:t>
      </w:r>
      <w:r w:rsidRPr="00965FB7">
        <w:rPr>
          <w:color w:val="252527"/>
          <w:rtl/>
        </w:rPr>
        <w:t xml:space="preserve">חייבת להתבצע על </w:t>
      </w:r>
      <w:r w:rsidRPr="00965FB7">
        <w:rPr>
          <w:color w:val="252527"/>
          <w:rtl/>
        </w:rPr>
        <w:lastRenderedPageBreak/>
        <w:t>פי התנאים הקבועים בחוק.</w:t>
      </w:r>
      <w:r w:rsidRPr="00502938">
        <w:rPr>
          <w:color w:val="252527"/>
          <w:rtl/>
        </w:rPr>
        <w:t xml:space="preserve"> </w:t>
      </w:r>
      <w:r>
        <w:rPr>
          <w:rFonts w:hint="cs"/>
          <w:color w:val="252527"/>
          <w:rtl/>
        </w:rPr>
        <w:t>כמו כן,</w:t>
      </w:r>
      <w:r w:rsidRPr="00502938">
        <w:rPr>
          <w:rFonts w:hint="cs"/>
          <w:color w:val="252527"/>
          <w:rtl/>
        </w:rPr>
        <w:t xml:space="preserve"> </w:t>
      </w:r>
      <w:r w:rsidRPr="00502938">
        <w:rPr>
          <w:color w:val="252527"/>
          <w:rtl/>
        </w:rPr>
        <w:t xml:space="preserve">הדגיש בית הדין, כי מטרת החוק איננה </w:t>
      </w:r>
      <w:r>
        <w:rPr>
          <w:rFonts w:hint="cs"/>
          <w:color w:val="252527"/>
          <w:rtl/>
        </w:rPr>
        <w:t>להעניק</w:t>
      </w:r>
      <w:r w:rsidRPr="00502938">
        <w:rPr>
          <w:color w:val="252527"/>
          <w:rtl/>
        </w:rPr>
        <w:t xml:space="preserve"> הגנה מפני פיטורים לעובד, המתלווה לבת זוגו, </w:t>
      </w:r>
      <w:r w:rsidRPr="00502938">
        <w:rPr>
          <w:rFonts w:hint="cs"/>
          <w:color w:val="252527"/>
          <w:rtl/>
        </w:rPr>
        <w:t xml:space="preserve">אלא רק לעובד\ת </w:t>
      </w:r>
      <w:r w:rsidRPr="00502938">
        <w:rPr>
          <w:color w:val="252527"/>
          <w:rtl/>
        </w:rPr>
        <w:t>העובר</w:t>
      </w:r>
      <w:r>
        <w:rPr>
          <w:rFonts w:hint="cs"/>
          <w:color w:val="252527"/>
          <w:rtl/>
        </w:rPr>
        <w:t>\</w:t>
      </w:r>
      <w:r w:rsidRPr="00502938">
        <w:rPr>
          <w:rFonts w:hint="cs"/>
          <w:color w:val="252527"/>
          <w:rtl/>
        </w:rPr>
        <w:t>ת</w:t>
      </w:r>
      <w:r w:rsidRPr="00502938">
        <w:rPr>
          <w:color w:val="252527"/>
          <w:rtl/>
        </w:rPr>
        <w:t xml:space="preserve"> טיפולי פוריות</w:t>
      </w:r>
      <w:r w:rsidRPr="00502938">
        <w:rPr>
          <w:rFonts w:hint="cs"/>
          <w:color w:val="252527"/>
          <w:rtl/>
        </w:rPr>
        <w:t xml:space="preserve"> ועומד בתנאי החוק.</w:t>
      </w:r>
    </w:p>
    <w:p w:rsidR="00993C05" w:rsidRDefault="00993C05" w:rsidP="00993C05">
      <w:pPr>
        <w:bidi/>
        <w:jc w:val="both"/>
        <w:rPr>
          <w:color w:val="252527"/>
          <w:rtl/>
        </w:rPr>
      </w:pPr>
      <w:r w:rsidRPr="0010545A">
        <w:rPr>
          <w:rFonts w:hint="cs"/>
          <w:color w:val="252527"/>
          <w:rtl/>
        </w:rPr>
        <w:t xml:space="preserve">במקרה </w:t>
      </w:r>
      <w:r>
        <w:rPr>
          <w:rFonts w:hint="cs"/>
          <w:color w:val="252527"/>
          <w:rtl/>
        </w:rPr>
        <w:t>מסוג זה</w:t>
      </w:r>
      <w:r w:rsidRPr="0010545A">
        <w:rPr>
          <w:rFonts w:hint="cs"/>
          <w:color w:val="252527"/>
          <w:rtl/>
        </w:rPr>
        <w:t xml:space="preserve"> בבואו של ביהמ"ש לדון בתיק</w:t>
      </w:r>
      <w:r>
        <w:rPr>
          <w:rFonts w:hint="cs"/>
          <w:color w:val="252527"/>
          <w:rtl/>
        </w:rPr>
        <w:t>, ראשית תוכרע</w:t>
      </w:r>
      <w:r w:rsidRPr="0010545A">
        <w:rPr>
          <w:rFonts w:hint="cs"/>
          <w:color w:val="252527"/>
          <w:rtl/>
        </w:rPr>
        <w:t xml:space="preserve"> </w:t>
      </w:r>
      <w:r>
        <w:rPr>
          <w:rFonts w:hint="cs"/>
          <w:color w:val="252527"/>
          <w:rtl/>
        </w:rPr>
        <w:t>ה</w:t>
      </w:r>
      <w:r w:rsidRPr="0010545A">
        <w:rPr>
          <w:rFonts w:hint="cs"/>
          <w:color w:val="252527"/>
          <w:rtl/>
        </w:rPr>
        <w:t>שאלה האם העובד</w:t>
      </w:r>
      <w:r>
        <w:rPr>
          <w:rFonts w:hint="cs"/>
          <w:color w:val="252527"/>
          <w:rtl/>
        </w:rPr>
        <w:t>\</w:t>
      </w:r>
      <w:r w:rsidRPr="0010545A">
        <w:rPr>
          <w:rFonts w:hint="cs"/>
          <w:color w:val="252527"/>
          <w:rtl/>
        </w:rPr>
        <w:t>ת</w:t>
      </w:r>
      <w:r w:rsidRPr="0010545A">
        <w:rPr>
          <w:color w:val="252527"/>
          <w:rtl/>
        </w:rPr>
        <w:t xml:space="preserve"> אכן עברה טיפולי פוריות בתקופת עבודתה. </w:t>
      </w:r>
      <w:r w:rsidRPr="0010545A">
        <w:rPr>
          <w:rFonts w:hint="cs"/>
          <w:color w:val="252527"/>
          <w:rtl/>
        </w:rPr>
        <w:t xml:space="preserve">לאחר שיאשר עובדה זו יבחן </w:t>
      </w:r>
      <w:r w:rsidRPr="0010545A">
        <w:rPr>
          <w:color w:val="252527"/>
          <w:rtl/>
        </w:rPr>
        <w:t>האם ומתי דיווחה התובעת אודות הטיפולים אותם הייתה צפויה לעבור.</w:t>
      </w:r>
      <w:r w:rsidRPr="0010545A">
        <w:rPr>
          <w:rFonts w:hint="cs"/>
          <w:color w:val="252527"/>
          <w:rtl/>
        </w:rPr>
        <w:t xml:space="preserve"> </w:t>
      </w:r>
    </w:p>
    <w:p w:rsidR="00993C05" w:rsidRPr="00502938" w:rsidRDefault="00993C05" w:rsidP="00993C05">
      <w:pPr>
        <w:bidi/>
        <w:jc w:val="both"/>
        <w:rPr>
          <w:color w:val="252527"/>
          <w:rtl/>
        </w:rPr>
      </w:pPr>
      <w:r w:rsidRPr="0010545A">
        <w:rPr>
          <w:color w:val="252527"/>
          <w:rtl/>
        </w:rPr>
        <w:t>הוראות החוק, יוצרות איזון בין הצורך להגן על תעסוקתה של האישה העוברת טיפולי פוריות לבין זכותו של מעביד להבטיח</w:t>
      </w:r>
      <w:r>
        <w:rPr>
          <w:color w:val="252527"/>
          <w:rtl/>
        </w:rPr>
        <w:t xml:space="preserve"> כי הוראות החוק לא ינוצלו לרעה</w:t>
      </w:r>
      <w:r>
        <w:rPr>
          <w:rFonts w:hint="cs"/>
          <w:color w:val="252527"/>
          <w:rtl/>
        </w:rPr>
        <w:t xml:space="preserve"> ו</w:t>
      </w:r>
      <w:r w:rsidRPr="0010545A">
        <w:rPr>
          <w:color w:val="252527"/>
          <w:rtl/>
        </w:rPr>
        <w:t>לא כל הודעה בדבר טיפולים מתוכננים תקנה לעובד</w:t>
      </w:r>
      <w:r>
        <w:rPr>
          <w:rFonts w:hint="cs"/>
          <w:color w:val="252527"/>
          <w:rtl/>
        </w:rPr>
        <w:t>\</w:t>
      </w:r>
      <w:r w:rsidRPr="0010545A">
        <w:rPr>
          <w:color w:val="252527"/>
          <w:rtl/>
        </w:rPr>
        <w:t>ת הגנה שבדין, אלא רק הודעה הניתנת מראש ונתמכת באישור רפואי מתאים, המתייחס לטיפולים העלולים לפגוע בתפקודה המקצועי של העובד</w:t>
      </w:r>
      <w:r>
        <w:rPr>
          <w:rFonts w:hint="cs"/>
          <w:color w:val="252527"/>
          <w:rtl/>
        </w:rPr>
        <w:t>\</w:t>
      </w:r>
      <w:r w:rsidRPr="0010545A">
        <w:rPr>
          <w:color w:val="252527"/>
          <w:rtl/>
        </w:rPr>
        <w:t>ת</w:t>
      </w:r>
      <w:r>
        <w:rPr>
          <w:rFonts w:hint="cs"/>
          <w:color w:val="252527"/>
          <w:rtl/>
        </w:rPr>
        <w:t>, כאמור</w:t>
      </w:r>
      <w:r w:rsidRPr="0010545A">
        <w:rPr>
          <w:color w:val="252527"/>
        </w:rPr>
        <w:t>.</w:t>
      </w:r>
      <w:r>
        <w:rPr>
          <w:rFonts w:hint="cs"/>
          <w:color w:val="252527"/>
          <w:rtl/>
        </w:rPr>
        <w:t xml:space="preserve"> </w:t>
      </w:r>
    </w:p>
    <w:p w:rsidR="00993C05" w:rsidRDefault="00993C05" w:rsidP="008E519A">
      <w:pPr>
        <w:bidi/>
        <w:jc w:val="both"/>
        <w:rPr>
          <w:color w:val="252527"/>
          <w:rtl/>
        </w:rPr>
      </w:pPr>
      <w:r w:rsidRPr="00502938">
        <w:rPr>
          <w:rFonts w:hint="cs"/>
          <w:color w:val="252527"/>
          <w:rtl/>
        </w:rPr>
        <w:t>בפסק</w:t>
      </w:r>
      <w:r>
        <w:rPr>
          <w:rFonts w:hint="cs"/>
          <w:color w:val="252527"/>
          <w:rtl/>
        </w:rPr>
        <w:t xml:space="preserve"> הדין דנן,</w:t>
      </w:r>
      <w:r w:rsidRPr="00502938">
        <w:rPr>
          <w:color w:val="252527"/>
          <w:rtl/>
        </w:rPr>
        <w:t xml:space="preserve"> הגיע בית הדין למסקנה כי פיטוריה של התובעת לא היו </w:t>
      </w:r>
      <w:r w:rsidR="008E519A">
        <w:rPr>
          <w:rFonts w:hint="cs"/>
          <w:color w:val="252527"/>
          <w:rtl/>
        </w:rPr>
        <w:t>טעונים קבלת</w:t>
      </w:r>
      <w:r>
        <w:rPr>
          <w:color w:val="252527"/>
          <w:rtl/>
        </w:rPr>
        <w:t xml:space="preserve"> היתר על פי חוק עבודת נשים</w:t>
      </w:r>
      <w:r>
        <w:rPr>
          <w:rFonts w:hint="cs"/>
          <w:color w:val="252527"/>
          <w:rtl/>
        </w:rPr>
        <w:t>,</w:t>
      </w:r>
      <w:r w:rsidRPr="00502938">
        <w:rPr>
          <w:color w:val="252527"/>
          <w:rtl/>
        </w:rPr>
        <w:t xml:space="preserve"> </w:t>
      </w:r>
      <w:r w:rsidRPr="00502938">
        <w:rPr>
          <w:rFonts w:hint="cs"/>
          <w:color w:val="252527"/>
          <w:rtl/>
        </w:rPr>
        <w:t>ו</w:t>
      </w:r>
      <w:r w:rsidRPr="00502938">
        <w:rPr>
          <w:color w:val="252527"/>
          <w:rtl/>
        </w:rPr>
        <w:t>כי היעדרויותיה של התובעת מעבודתה אינן עומדות בדרישות הסעיף</w:t>
      </w:r>
      <w:r>
        <w:rPr>
          <w:rFonts w:hint="cs"/>
          <w:color w:val="252527"/>
          <w:rtl/>
        </w:rPr>
        <w:t>, זאת כיוון ש</w:t>
      </w:r>
      <w:r w:rsidRPr="00502938">
        <w:rPr>
          <w:color w:val="252527"/>
          <w:rtl/>
        </w:rPr>
        <w:t xml:space="preserve">לא המציאה אישור בכתב מהרופא </w:t>
      </w:r>
      <w:r w:rsidRPr="00502938">
        <w:rPr>
          <w:rFonts w:hint="cs"/>
          <w:color w:val="252527"/>
          <w:rtl/>
        </w:rPr>
        <w:t>ולא התריעה על הטיפולים הנ"ל אלא רק במעמד פיטוריה</w:t>
      </w:r>
      <w:r>
        <w:rPr>
          <w:rFonts w:hint="cs"/>
          <w:color w:val="252527"/>
          <w:rtl/>
        </w:rPr>
        <w:t xml:space="preserve">. </w:t>
      </w:r>
      <w:r>
        <w:rPr>
          <w:rFonts w:hint="cs"/>
          <w:color w:val="252527"/>
          <w:rtl/>
        </w:rPr>
        <w:lastRenderedPageBreak/>
        <w:t>עוד</w:t>
      </w:r>
      <w:r w:rsidRPr="00EF6686">
        <w:rPr>
          <w:rFonts w:hint="cs"/>
          <w:color w:val="252527"/>
          <w:rtl/>
        </w:rPr>
        <w:t xml:space="preserve"> </w:t>
      </w:r>
      <w:r w:rsidRPr="00502938">
        <w:rPr>
          <w:rFonts w:hint="cs"/>
          <w:color w:val="252527"/>
          <w:rtl/>
        </w:rPr>
        <w:t>עלה</w:t>
      </w:r>
      <w:r>
        <w:rPr>
          <w:rFonts w:hint="cs"/>
          <w:color w:val="252527"/>
          <w:rtl/>
        </w:rPr>
        <w:t xml:space="preserve"> </w:t>
      </w:r>
      <w:r w:rsidRPr="00502938">
        <w:rPr>
          <w:color w:val="252527"/>
          <w:rtl/>
        </w:rPr>
        <w:t>מ</w:t>
      </w:r>
      <w:r>
        <w:rPr>
          <w:rFonts w:hint="cs"/>
          <w:color w:val="252527"/>
          <w:rtl/>
        </w:rPr>
        <w:t xml:space="preserve">בחינת </w:t>
      </w:r>
      <w:r w:rsidRPr="00502938">
        <w:rPr>
          <w:color w:val="252527"/>
          <w:rtl/>
        </w:rPr>
        <w:t xml:space="preserve">החומר הרפואי, כי </w:t>
      </w:r>
      <w:r>
        <w:rPr>
          <w:rFonts w:hint="cs"/>
          <w:color w:val="252527"/>
          <w:rtl/>
        </w:rPr>
        <w:t>הטיפולים שעשתה</w:t>
      </w:r>
      <w:r w:rsidRPr="00502938">
        <w:rPr>
          <w:color w:val="252527"/>
          <w:rtl/>
        </w:rPr>
        <w:t xml:space="preserve"> החלו יומיים לאחר שנמסר לה מכתב הפיטורים</w:t>
      </w:r>
      <w:r w:rsidRPr="00502938">
        <w:rPr>
          <w:color w:val="252527"/>
        </w:rPr>
        <w:t>.</w:t>
      </w:r>
      <w:r w:rsidRPr="00502938">
        <w:rPr>
          <w:rFonts w:hint="cs"/>
          <w:color w:val="252527"/>
          <w:rtl/>
        </w:rPr>
        <w:t xml:space="preserve"> </w:t>
      </w:r>
    </w:p>
    <w:p w:rsidR="00993C05" w:rsidRPr="00A00241" w:rsidRDefault="00993C05" w:rsidP="00993C05">
      <w:pPr>
        <w:bidi/>
        <w:jc w:val="both"/>
        <w:rPr>
          <w:color w:val="252527"/>
          <w:rtl/>
        </w:rPr>
      </w:pPr>
      <w:r>
        <w:rPr>
          <w:rFonts w:hint="cs"/>
          <w:color w:val="252527"/>
          <w:rtl/>
        </w:rPr>
        <w:t>בסופו של יום</w:t>
      </w:r>
      <w:r w:rsidRPr="00502938">
        <w:rPr>
          <w:rFonts w:hint="cs"/>
          <w:color w:val="252527"/>
          <w:rtl/>
        </w:rPr>
        <w:t xml:space="preserve"> החברה הצליחה </w:t>
      </w:r>
      <w:r w:rsidRPr="00502938">
        <w:rPr>
          <w:color w:val="252527"/>
          <w:rtl/>
        </w:rPr>
        <w:t xml:space="preserve">להוכיח כי פיטורי התובעת היו שלא מחמת טיפולי הפוריות, אלא </w:t>
      </w:r>
      <w:r>
        <w:rPr>
          <w:rFonts w:hint="cs"/>
          <w:color w:val="252527"/>
          <w:rtl/>
        </w:rPr>
        <w:t>מפאת</w:t>
      </w:r>
      <w:r w:rsidRPr="00A00241">
        <w:rPr>
          <w:color w:val="252527"/>
          <w:rtl/>
        </w:rPr>
        <w:t xml:space="preserve"> היעדר שביעות הרצון מהתנהלותה המקצועית</w:t>
      </w:r>
      <w:r>
        <w:rPr>
          <w:rFonts w:hint="cs"/>
          <w:color w:val="252527"/>
          <w:rtl/>
        </w:rPr>
        <w:t>, באופן שבסופו של דבר הוביל לדחיית התביעה.</w:t>
      </w:r>
    </w:p>
    <w:p w:rsidR="00993C05" w:rsidRPr="00A00241" w:rsidRDefault="00993C05" w:rsidP="00993C05">
      <w:pPr>
        <w:pStyle w:val="NormalWeb"/>
        <w:shd w:val="clear" w:color="auto" w:fill="FFFFFF"/>
        <w:bidi/>
        <w:spacing w:before="0" w:beforeAutospacing="0" w:after="0" w:afterAutospacing="0"/>
        <w:jc w:val="both"/>
        <w:rPr>
          <w:rFonts w:ascii="Arial" w:hAnsi="Arial" w:cs="David"/>
          <w:color w:val="000000"/>
          <w:rtl/>
        </w:rPr>
      </w:pPr>
      <w:r w:rsidRPr="00A00241">
        <w:rPr>
          <w:rFonts w:ascii="Arial" w:hAnsi="Arial" w:cs="David" w:hint="cs"/>
          <w:color w:val="000000"/>
          <w:rtl/>
        </w:rPr>
        <w:t xml:space="preserve">במקרה ועובד עובר טיפולי פוריות הרעיון המרכזי הינו לפעול על פי דרישות החוק, ולוודא כי אכן ביצעת את כל הפעולות הנדרשות כאמור (הודעה מראש, הצגת אישור רפואי בכתב ואישור על כך שהמקרה מחייב היעדרות) וזאת בכדי למנוע אי הבנות ולקבל את מלוא הגנת המחוקק. </w:t>
      </w:r>
    </w:p>
    <w:p w:rsidR="00993C05" w:rsidRPr="00A00241" w:rsidRDefault="00993C05" w:rsidP="008E519A">
      <w:pPr>
        <w:pStyle w:val="NormalWeb"/>
        <w:shd w:val="clear" w:color="auto" w:fill="FFFFFF"/>
        <w:bidi/>
        <w:spacing w:before="0" w:beforeAutospacing="0" w:after="0" w:afterAutospacing="0"/>
        <w:jc w:val="both"/>
        <w:rPr>
          <w:rFonts w:ascii="Arial" w:hAnsi="Arial" w:cs="David"/>
          <w:color w:val="000000"/>
          <w:rtl/>
        </w:rPr>
      </w:pPr>
      <w:r w:rsidRPr="00A00241">
        <w:rPr>
          <w:rFonts w:ascii="Arial" w:hAnsi="Arial" w:cs="David" w:hint="cs"/>
          <w:color w:val="000000"/>
          <w:rtl/>
        </w:rPr>
        <w:t>עובד שפעל כאמור, ופוטר, יהא זכאי להגנת המחוקק וכמו כן גם לפיצויים בגין הנזק שנגרם</w:t>
      </w:r>
      <w:r>
        <w:rPr>
          <w:rFonts w:ascii="Arial" w:hAnsi="Arial" w:cs="David" w:hint="cs"/>
          <w:color w:val="000000"/>
          <w:rtl/>
        </w:rPr>
        <w:t xml:space="preserve"> לו,</w:t>
      </w:r>
      <w:r w:rsidRPr="00A00241">
        <w:rPr>
          <w:rFonts w:ascii="Arial" w:hAnsi="Arial" w:cs="David" w:hint="cs"/>
          <w:color w:val="000000"/>
          <w:rtl/>
        </w:rPr>
        <w:t xml:space="preserve"> על כן, לא מ</w:t>
      </w:r>
      <w:r>
        <w:rPr>
          <w:rFonts w:ascii="Arial" w:hAnsi="Arial" w:cs="David" w:hint="cs"/>
          <w:color w:val="000000"/>
          <w:rtl/>
        </w:rPr>
        <w:t>ומ</w:t>
      </w:r>
      <w:r w:rsidRPr="00A00241">
        <w:rPr>
          <w:rFonts w:ascii="Arial" w:hAnsi="Arial" w:cs="David" w:hint="cs"/>
          <w:color w:val="000000"/>
          <w:rtl/>
        </w:rPr>
        <w:t xml:space="preserve">לץ להקל ראש  </w:t>
      </w:r>
      <w:r w:rsidR="008E519A">
        <w:rPr>
          <w:rFonts w:ascii="Arial" w:hAnsi="Arial" w:cs="David" w:hint="cs"/>
          <w:color w:val="000000"/>
          <w:rtl/>
        </w:rPr>
        <w:t>ו</w:t>
      </w:r>
      <w:r>
        <w:rPr>
          <w:rFonts w:ascii="Arial" w:hAnsi="Arial" w:cs="David" w:hint="cs"/>
          <w:color w:val="000000"/>
          <w:rtl/>
        </w:rPr>
        <w:t>ל</w:t>
      </w:r>
      <w:r w:rsidRPr="00A00241">
        <w:rPr>
          <w:rFonts w:ascii="Arial" w:hAnsi="Arial" w:cs="David" w:hint="cs"/>
          <w:color w:val="000000"/>
          <w:rtl/>
        </w:rPr>
        <w:t>היוועץ בעורך דין מתחום דיני העבודה לשם השגת ה</w:t>
      </w:r>
      <w:r>
        <w:rPr>
          <w:rFonts w:ascii="Arial" w:hAnsi="Arial" w:cs="David" w:hint="cs"/>
          <w:color w:val="000000"/>
          <w:rtl/>
        </w:rPr>
        <w:t>תוצאות הרצויות באופן הטוב ביותר</w:t>
      </w:r>
      <w:r w:rsidRPr="00A00241">
        <w:rPr>
          <w:rFonts w:ascii="Arial" w:hAnsi="Arial" w:cs="David" w:hint="cs"/>
          <w:color w:val="000000"/>
          <w:rtl/>
        </w:rPr>
        <w:t xml:space="preserve"> </w:t>
      </w:r>
      <w:r>
        <w:rPr>
          <w:rFonts w:ascii="Arial" w:hAnsi="Arial" w:cs="David" w:hint="cs"/>
          <w:color w:val="000000"/>
          <w:rtl/>
        </w:rPr>
        <w:t>ובעזרתו</w:t>
      </w:r>
      <w:r w:rsidRPr="00A00241">
        <w:rPr>
          <w:rFonts w:ascii="Arial" w:hAnsi="Arial" w:cs="David"/>
          <w:color w:val="000000"/>
          <w:rtl/>
        </w:rPr>
        <w:t xml:space="preserve"> לפנות </w:t>
      </w:r>
      <w:r w:rsidRPr="00A00241">
        <w:rPr>
          <w:rFonts w:ascii="Arial" w:hAnsi="Arial" w:cs="David" w:hint="cs"/>
          <w:color w:val="000000"/>
          <w:rtl/>
        </w:rPr>
        <w:t>לערכאה משפטית</w:t>
      </w:r>
      <w:r w:rsidRPr="00A00241">
        <w:rPr>
          <w:rFonts w:ascii="Arial" w:hAnsi="Arial" w:cs="David"/>
          <w:color w:val="000000"/>
          <w:rtl/>
        </w:rPr>
        <w:t xml:space="preserve"> אשר יכול</w:t>
      </w:r>
      <w:r w:rsidRPr="00A00241">
        <w:rPr>
          <w:rFonts w:ascii="Arial" w:hAnsi="Arial" w:cs="David" w:hint="cs"/>
          <w:color w:val="000000"/>
          <w:rtl/>
        </w:rPr>
        <w:t>ה</w:t>
      </w:r>
      <w:r w:rsidRPr="00A00241">
        <w:rPr>
          <w:rFonts w:ascii="Arial" w:hAnsi="Arial" w:cs="David"/>
          <w:color w:val="000000"/>
          <w:rtl/>
        </w:rPr>
        <w:t xml:space="preserve"> לשנות את החלטת המעסיק</w:t>
      </w:r>
      <w:r>
        <w:rPr>
          <w:rFonts w:ascii="Arial" w:hAnsi="Arial" w:cs="David" w:hint="cs"/>
          <w:color w:val="000000"/>
          <w:rtl/>
        </w:rPr>
        <w:t xml:space="preserve"> ו/או לפסוק פיצויים הולמים בהתאם</w:t>
      </w:r>
      <w:r w:rsidRPr="00A00241">
        <w:rPr>
          <w:rFonts w:ascii="Arial" w:hAnsi="Arial" w:cs="David"/>
          <w:color w:val="000000"/>
        </w:rPr>
        <w:t>.</w:t>
      </w:r>
      <w:r w:rsidRPr="00A00241">
        <w:rPr>
          <w:rFonts w:ascii="Arial" w:hAnsi="Arial" w:cs="David" w:hint="cs"/>
          <w:color w:val="000000"/>
          <w:rtl/>
        </w:rPr>
        <w:t xml:space="preserve"> </w:t>
      </w:r>
    </w:p>
    <w:p w:rsidR="00993C05" w:rsidRPr="00A0400E" w:rsidRDefault="00993C05" w:rsidP="00993C05">
      <w:pPr>
        <w:pStyle w:val="NormalWeb"/>
        <w:shd w:val="clear" w:color="auto" w:fill="FFFFFF"/>
        <w:bidi/>
        <w:spacing w:before="0" w:beforeAutospacing="0" w:after="0" w:afterAutospacing="0"/>
        <w:jc w:val="both"/>
        <w:rPr>
          <w:rFonts w:ascii="Arial" w:hAnsi="Arial" w:cs="David"/>
          <w:color w:val="000000"/>
          <w:rtl/>
        </w:rPr>
      </w:pPr>
      <w:r w:rsidRPr="00A0400E">
        <w:rPr>
          <w:rFonts w:ascii="Arial" w:hAnsi="Arial" w:cs="David" w:hint="cs"/>
          <w:color w:val="000000"/>
          <w:rtl/>
        </w:rPr>
        <w:t>מכל מקום, מובהר כי אין באמור כדי להוות תחליף בכל דרך שהיא לייעוץ משפטי ומומלץ בכל מקרה לפנות לעו"ד המתמחה</w:t>
      </w:r>
      <w:r w:rsidRPr="00A0400E">
        <w:rPr>
          <w:rFonts w:ascii="Arial" w:hAnsi="Arial" w:cs="David"/>
          <w:color w:val="000000"/>
        </w:rPr>
        <w:t xml:space="preserve"> </w:t>
      </w:r>
      <w:r w:rsidRPr="00A0400E">
        <w:rPr>
          <w:rFonts w:ascii="Arial" w:hAnsi="Arial" w:cs="David" w:hint="cs"/>
          <w:color w:val="000000"/>
          <w:rtl/>
        </w:rPr>
        <w:t xml:space="preserve">בתחום. </w:t>
      </w:r>
    </w:p>
    <w:p w:rsidR="00993C05" w:rsidRDefault="00993C05" w:rsidP="00E45319">
      <w:pPr>
        <w:bidi/>
        <w:rPr>
          <w:rFonts w:ascii="Arial" w:hAnsi="Arial"/>
          <w:b/>
          <w:bCs/>
          <w:sz w:val="28"/>
          <w:szCs w:val="28"/>
          <w:rtl/>
        </w:rPr>
        <w:sectPr w:rsidR="00993C05" w:rsidSect="00993C05">
          <w:type w:val="continuous"/>
          <w:pgSz w:w="11906" w:h="16838"/>
          <w:pgMar w:top="1079" w:right="1800" w:bottom="1258" w:left="1800" w:header="708" w:footer="708" w:gutter="0"/>
          <w:cols w:num="2" w:space="709"/>
          <w:titlePg/>
          <w:bidi/>
          <w:docGrid w:linePitch="360"/>
        </w:sectPr>
      </w:pPr>
    </w:p>
    <w:p w:rsidR="00E45319" w:rsidRDefault="00E45319" w:rsidP="00E45319">
      <w:pPr>
        <w:bidi/>
        <w:rPr>
          <w:rFonts w:ascii="Arial" w:hAnsi="Arial"/>
          <w:b/>
          <w:bCs/>
          <w:sz w:val="28"/>
          <w:szCs w:val="28"/>
          <w:rtl/>
        </w:rPr>
      </w:pPr>
    </w:p>
    <w:p w:rsidR="002D5621" w:rsidRPr="002D5621" w:rsidRDefault="002D5621" w:rsidP="00360EF8">
      <w:pPr>
        <w:bidi/>
        <w:jc w:val="center"/>
        <w:rPr>
          <w:b/>
          <w:bCs/>
          <w:color w:val="000000" w:themeColor="text1"/>
          <w:sz w:val="32"/>
          <w:szCs w:val="32"/>
          <w:rtl/>
        </w:rPr>
      </w:pPr>
      <w:r w:rsidRPr="002D5621">
        <w:rPr>
          <w:rFonts w:hint="cs"/>
          <w:b/>
          <w:bCs/>
          <w:sz w:val="32"/>
          <w:szCs w:val="32"/>
          <w:u w:val="single"/>
          <w:rtl/>
        </w:rPr>
        <w:t xml:space="preserve">חוזר </w:t>
      </w:r>
      <w:r w:rsidR="00360EF8">
        <w:rPr>
          <w:rFonts w:hint="cs"/>
          <w:b/>
          <w:bCs/>
          <w:sz w:val="32"/>
          <w:szCs w:val="32"/>
          <w:u w:val="single"/>
          <w:rtl/>
        </w:rPr>
        <w:t>207</w:t>
      </w:r>
      <w:r w:rsidRPr="002D5621">
        <w:rPr>
          <w:rFonts w:hint="cs"/>
          <w:b/>
          <w:bCs/>
          <w:sz w:val="32"/>
          <w:szCs w:val="32"/>
          <w:u w:val="single"/>
          <w:rtl/>
        </w:rPr>
        <w:t>- ספטמבר 2013</w:t>
      </w:r>
    </w:p>
    <w:p w:rsidR="002D5621" w:rsidRDefault="009C3CAB" w:rsidP="002D5621">
      <w:pPr>
        <w:bidi/>
        <w:jc w:val="center"/>
        <w:rPr>
          <w:b/>
          <w:bCs/>
          <w:color w:val="000000" w:themeColor="text1"/>
          <w:sz w:val="28"/>
          <w:szCs w:val="28"/>
          <w:rtl/>
        </w:rPr>
      </w:pPr>
      <w:r w:rsidRPr="002D5621">
        <w:rPr>
          <w:rFonts w:hint="cs"/>
          <w:b/>
          <w:bCs/>
          <w:color w:val="000000" w:themeColor="text1"/>
          <w:sz w:val="28"/>
          <w:szCs w:val="28"/>
          <w:rtl/>
        </w:rPr>
        <w:t>איתן אגמון, יועץ לניהול משאבי אנוש</w:t>
      </w:r>
    </w:p>
    <w:p w:rsidR="002D5621" w:rsidRDefault="002D5621" w:rsidP="002D5621">
      <w:pPr>
        <w:bidi/>
        <w:jc w:val="center"/>
        <w:rPr>
          <w:b/>
          <w:bCs/>
          <w:color w:val="000000" w:themeColor="text1"/>
          <w:sz w:val="28"/>
          <w:szCs w:val="28"/>
          <w:rtl/>
        </w:rPr>
      </w:pPr>
    </w:p>
    <w:p w:rsidR="00360EF8" w:rsidRDefault="00360EF8" w:rsidP="00360EF8">
      <w:pPr>
        <w:bidi/>
        <w:ind w:left="-2"/>
        <w:jc w:val="both"/>
        <w:rPr>
          <w:b/>
          <w:bCs/>
          <w:u w:val="single"/>
          <w:rtl/>
        </w:rPr>
        <w:sectPr w:rsidR="00360EF8">
          <w:type w:val="continuous"/>
          <w:pgSz w:w="11906" w:h="16838"/>
          <w:pgMar w:top="1079" w:right="1800" w:bottom="1258" w:left="1800" w:header="708" w:footer="708" w:gutter="0"/>
          <w:cols w:space="708"/>
          <w:titlePg/>
          <w:docGrid w:linePitch="360"/>
        </w:sectPr>
      </w:pPr>
    </w:p>
    <w:p w:rsidR="00360EF8" w:rsidRDefault="00360EF8" w:rsidP="00360EF8">
      <w:pPr>
        <w:bidi/>
        <w:ind w:left="-2"/>
        <w:jc w:val="both"/>
        <w:rPr>
          <w:rFonts w:hint="cs"/>
          <w:b/>
          <w:bCs/>
          <w:u w:val="single"/>
          <w:rtl/>
        </w:rPr>
      </w:pPr>
      <w:r>
        <w:rPr>
          <w:rFonts w:hint="cs"/>
          <w:b/>
          <w:bCs/>
          <w:u w:val="single"/>
          <w:rtl/>
        </w:rPr>
        <w:lastRenderedPageBreak/>
        <w:t>והפעם- חידושי פסיקה מהזמן האחרון:</w:t>
      </w:r>
    </w:p>
    <w:p w:rsidR="00360EF8" w:rsidRPr="009A24BE" w:rsidRDefault="00360EF8" w:rsidP="00360EF8">
      <w:pPr>
        <w:bidi/>
        <w:ind w:left="-2"/>
        <w:jc w:val="both"/>
        <w:rPr>
          <w:rFonts w:ascii="Times New Roman" w:hAnsi="Times New Roman"/>
          <w:rtl/>
          <w:lang w:eastAsia="he-IL"/>
        </w:rPr>
      </w:pPr>
      <w:r w:rsidRPr="00286718">
        <w:rPr>
          <w:rFonts w:hint="cs"/>
          <w:b/>
          <w:bCs/>
          <w:u w:val="single"/>
          <w:rtl/>
        </w:rPr>
        <w:t>מעקב טלפוני</w:t>
      </w:r>
      <w:r>
        <w:rPr>
          <w:rFonts w:hint="cs"/>
          <w:rtl/>
        </w:rPr>
        <w:t xml:space="preserve">: המעביד התקין במכשיר הנייד שסיפק לעובד (איש מכירות) "שירות מעקב" </w:t>
      </w:r>
      <w:proofErr w:type="spellStart"/>
      <w:r>
        <w:rPr>
          <w:rFonts w:hint="cs"/>
          <w:rtl/>
        </w:rPr>
        <w:t>שאיפשר</w:t>
      </w:r>
      <w:proofErr w:type="spellEnd"/>
      <w:r>
        <w:rPr>
          <w:rFonts w:hint="cs"/>
          <w:rtl/>
        </w:rPr>
        <w:t xml:space="preserve"> איכון העובד. העובד טען לפגיעה בפרטיות. ביה"ד האזורי פסק: "</w:t>
      </w:r>
      <w:r w:rsidRPr="009A24BE">
        <w:rPr>
          <w:rFonts w:ascii="Times New Roman" w:hAnsi="Times New Roman"/>
          <w:rtl/>
          <w:lang w:eastAsia="he-IL"/>
        </w:rPr>
        <w:t xml:space="preserve">התובע לא הוכיח, כי הנתבעת עשתה שימוש כלשהו בשירות המעקב שהותקן בטלפון שלו על מנת לעקוב אחר מקום </w:t>
      </w:r>
      <w:proofErr w:type="spellStart"/>
      <w:r w:rsidRPr="009A24BE">
        <w:rPr>
          <w:rFonts w:ascii="Times New Roman" w:hAnsi="Times New Roman"/>
          <w:rtl/>
          <w:lang w:eastAsia="he-IL"/>
        </w:rPr>
        <w:t>הימצאו</w:t>
      </w:r>
      <w:proofErr w:type="spellEnd"/>
      <w:r w:rsidRPr="009A24BE">
        <w:rPr>
          <w:rFonts w:ascii="Times New Roman" w:hAnsi="Times New Roman"/>
          <w:rtl/>
          <w:lang w:eastAsia="he-IL"/>
        </w:rPr>
        <w:t xml:space="preserve"> שלא בשעות או ימי העבודה</w:t>
      </w:r>
      <w:r>
        <w:rPr>
          <w:rFonts w:ascii="Times New Roman" w:hAnsi="Times New Roman"/>
          <w:lang w:eastAsia="he-IL"/>
        </w:rPr>
        <w:t>.</w:t>
      </w:r>
      <w:r>
        <w:rPr>
          <w:rFonts w:ascii="Times New Roman" w:hAnsi="Times New Roman" w:hint="cs"/>
          <w:rtl/>
          <w:lang w:eastAsia="he-IL"/>
        </w:rPr>
        <w:t xml:space="preserve"> </w:t>
      </w:r>
      <w:r w:rsidRPr="009A24BE">
        <w:rPr>
          <w:rFonts w:ascii="Times New Roman" w:hAnsi="Times New Roman"/>
          <w:rtl/>
          <w:lang w:eastAsia="he-IL"/>
        </w:rPr>
        <w:t xml:space="preserve">לפיכך, אין אנו סבורים כי בנסיבות המקרה דנן בהן </w:t>
      </w:r>
      <w:r w:rsidRPr="00306949">
        <w:rPr>
          <w:rFonts w:ascii="Times New Roman" w:hAnsi="Times New Roman"/>
          <w:b/>
          <w:bCs/>
          <w:rtl/>
          <w:lang w:eastAsia="he-IL"/>
        </w:rPr>
        <w:t xml:space="preserve">ביקשה הנתבעת לפקח על מקום </w:t>
      </w:r>
      <w:proofErr w:type="spellStart"/>
      <w:r w:rsidRPr="00306949">
        <w:rPr>
          <w:rFonts w:ascii="Times New Roman" w:hAnsi="Times New Roman"/>
          <w:b/>
          <w:bCs/>
          <w:rtl/>
          <w:lang w:eastAsia="he-IL"/>
        </w:rPr>
        <w:t>הימצאו</w:t>
      </w:r>
      <w:proofErr w:type="spellEnd"/>
      <w:r w:rsidRPr="00306949">
        <w:rPr>
          <w:rFonts w:ascii="Times New Roman" w:hAnsi="Times New Roman"/>
          <w:b/>
          <w:bCs/>
          <w:rtl/>
          <w:lang w:eastAsia="he-IL"/>
        </w:rPr>
        <w:t xml:space="preserve"> של התובע במהלך יום העבודה בלבד</w:t>
      </w:r>
      <w:r w:rsidRPr="009A24BE">
        <w:rPr>
          <w:rFonts w:ascii="Times New Roman" w:hAnsi="Times New Roman"/>
          <w:rtl/>
          <w:lang w:eastAsia="he-IL"/>
        </w:rPr>
        <w:t>, בכדי להוות חדירה לפרטיות או מעקב אסור</w:t>
      </w:r>
      <w:r w:rsidRPr="009A24BE">
        <w:rPr>
          <w:rFonts w:ascii="Times New Roman" w:hAnsi="Times New Roman"/>
          <w:lang w:eastAsia="he-IL"/>
        </w:rPr>
        <w:t>.</w:t>
      </w:r>
      <w:r>
        <w:rPr>
          <w:rFonts w:ascii="Times New Roman" w:hAnsi="Times New Roman" w:hint="cs"/>
          <w:rtl/>
          <w:lang w:eastAsia="he-IL"/>
        </w:rPr>
        <w:t>" (</w:t>
      </w:r>
      <w:r w:rsidRPr="009A24BE">
        <w:rPr>
          <w:rFonts w:hint="cs"/>
          <w:b/>
          <w:bCs/>
          <w:rtl/>
          <w:lang w:eastAsia="he-IL"/>
        </w:rPr>
        <w:t xml:space="preserve"> </w:t>
      </w:r>
      <w:r>
        <w:rPr>
          <w:rFonts w:hint="cs"/>
          <w:rtl/>
          <w:lang w:eastAsia="he-IL"/>
        </w:rPr>
        <w:t>31589-05-10</w:t>
      </w:r>
      <w:r>
        <w:rPr>
          <w:rFonts w:hint="cs"/>
          <w:b/>
          <w:bCs/>
          <w:rtl/>
          <w:lang w:eastAsia="he-IL"/>
        </w:rPr>
        <w:t>)</w:t>
      </w:r>
    </w:p>
    <w:p w:rsidR="00360EF8" w:rsidRPr="00365519" w:rsidRDefault="00360EF8" w:rsidP="00360EF8">
      <w:pPr>
        <w:bidi/>
        <w:ind w:left="-2"/>
        <w:jc w:val="both"/>
      </w:pPr>
      <w:r w:rsidRPr="00286718">
        <w:rPr>
          <w:rFonts w:hint="cs"/>
          <w:b/>
          <w:bCs/>
          <w:u w:val="single"/>
          <w:rtl/>
        </w:rPr>
        <w:t>מחיקת חומר פרטי ממחשב המעביד</w:t>
      </w:r>
      <w:r>
        <w:rPr>
          <w:rFonts w:hint="cs"/>
          <w:rtl/>
        </w:rPr>
        <w:t xml:space="preserve">: מעביד מנע מעובדת שפוטרה גישה לחומר אישי שנצבר במחשב החברה, ומחק את החומר. העובדת תבעה פיצוי. ביה"ד האזורי הבחין בין </w:t>
      </w:r>
      <w:r w:rsidRPr="00306949">
        <w:rPr>
          <w:rFonts w:hint="cs"/>
          <w:b/>
          <w:bCs/>
          <w:rtl/>
        </w:rPr>
        <w:t>מניעת הגישה למחשב</w:t>
      </w:r>
      <w:r>
        <w:rPr>
          <w:rFonts w:hint="cs"/>
          <w:rtl/>
        </w:rPr>
        <w:t xml:space="preserve"> ("</w:t>
      </w:r>
      <w:r w:rsidRPr="00365519">
        <w:rPr>
          <w:rtl/>
        </w:rPr>
        <w:t xml:space="preserve">כדי להבטיח כי מידע סודי לא יועתק ממחשבי הנתבעת וכדי לצמצם סכנה </w:t>
      </w:r>
      <w:r>
        <w:rPr>
          <w:rtl/>
        </w:rPr>
        <w:t>למחשבים ולמידע במקרה של פיטורים</w:t>
      </w:r>
      <w:r>
        <w:rPr>
          <w:rFonts w:hint="cs"/>
          <w:rtl/>
        </w:rPr>
        <w:t xml:space="preserve">"), ובין </w:t>
      </w:r>
      <w:r w:rsidRPr="00306949">
        <w:rPr>
          <w:rFonts w:hint="cs"/>
          <w:b/>
          <w:bCs/>
          <w:rtl/>
        </w:rPr>
        <w:t>מחיקת החומר האישי</w:t>
      </w:r>
      <w:r>
        <w:rPr>
          <w:rFonts w:hint="cs"/>
          <w:rtl/>
        </w:rPr>
        <w:t xml:space="preserve"> מהמחשב, לפני העתקתו ע"י העובדת. "</w:t>
      </w:r>
      <w:r w:rsidRPr="00365519">
        <w:rPr>
          <w:rFonts w:ascii="Times New Roman" w:hAnsi="Times New Roman" w:hint="cs"/>
          <w:color w:val="000000"/>
          <w:rtl/>
        </w:rPr>
        <w:t>ה</w:t>
      </w:r>
      <w:r w:rsidRPr="00365519">
        <w:rPr>
          <w:color w:val="000000"/>
          <w:rtl/>
        </w:rPr>
        <w:t xml:space="preserve">יה </w:t>
      </w:r>
      <w:r w:rsidRPr="00365519">
        <w:rPr>
          <w:rtl/>
        </w:rPr>
        <w:t xml:space="preserve">על </w:t>
      </w:r>
      <w:r>
        <w:rPr>
          <w:rFonts w:hint="cs"/>
          <w:rtl/>
        </w:rPr>
        <w:t xml:space="preserve">המעביד, </w:t>
      </w:r>
      <w:r w:rsidRPr="00365519">
        <w:rPr>
          <w:rtl/>
        </w:rPr>
        <w:t>טרם ביצוע פעולה של מחיקה</w:t>
      </w:r>
      <w:r>
        <w:rPr>
          <w:rFonts w:hint="cs"/>
          <w:rtl/>
        </w:rPr>
        <w:t>,</w:t>
      </w:r>
      <w:r w:rsidRPr="00365519">
        <w:rPr>
          <w:rtl/>
        </w:rPr>
        <w:t xml:space="preserve"> להתריע בפני ה</w:t>
      </w:r>
      <w:r>
        <w:rPr>
          <w:rFonts w:hint="cs"/>
          <w:rtl/>
        </w:rPr>
        <w:t>עובדת</w:t>
      </w:r>
      <w:r w:rsidRPr="00365519">
        <w:rPr>
          <w:rtl/>
        </w:rPr>
        <w:t xml:space="preserve"> ולהותיר לה שהות לגיבוי המידע האישי. למה הדבר דומה, לכך שעובד ישמור את חפציו האישיים במגירת השולחן והמעביד – טרם מתן הזדמנות לעובד </w:t>
      </w:r>
      <w:r w:rsidRPr="00365519">
        <w:rPr>
          <w:rtl/>
        </w:rPr>
        <w:lastRenderedPageBreak/>
        <w:t>להוציאם, ישליכם ויגרום לאובדנם.</w:t>
      </w:r>
      <w:r>
        <w:rPr>
          <w:rFonts w:hint="cs"/>
          <w:rtl/>
        </w:rPr>
        <w:t>" (</w:t>
      </w:r>
      <w:r w:rsidRPr="00365519">
        <w:rPr>
          <w:rtl/>
        </w:rPr>
        <w:t>תע"א 2349-09</w:t>
      </w:r>
      <w:r>
        <w:rPr>
          <w:rFonts w:hint="cs"/>
          <w:rtl/>
        </w:rPr>
        <w:t>)</w:t>
      </w:r>
    </w:p>
    <w:p w:rsidR="00360EF8" w:rsidRDefault="00360EF8" w:rsidP="00360EF8">
      <w:pPr>
        <w:bidi/>
        <w:jc w:val="both"/>
        <w:rPr>
          <w:rFonts w:hint="cs"/>
          <w:rtl/>
        </w:rPr>
      </w:pPr>
      <w:r w:rsidRPr="00286718">
        <w:rPr>
          <w:rFonts w:hint="cs"/>
          <w:b/>
          <w:bCs/>
          <w:u w:val="single"/>
          <w:rtl/>
        </w:rPr>
        <w:t>אי מתן המלצה לעובד שסיים לעבוד</w:t>
      </w:r>
      <w:r>
        <w:rPr>
          <w:rFonts w:hint="cs"/>
          <w:rtl/>
        </w:rPr>
        <w:t>: עובדת שפוטרה טענה כי מעבידיה סירבו להמליץ עליה בפני מעבידים אחרים, ועל כן תבעה פיצויי בגין אי השתכרות ופיצוי בגין לשון הרע. ביה"ד האזורי קבע כי "</w:t>
      </w:r>
      <w:r w:rsidRPr="00306949">
        <w:rPr>
          <w:rFonts w:hint="cs"/>
          <w:b/>
          <w:bCs/>
          <w:rtl/>
        </w:rPr>
        <w:t>המעביד לא מסר פרטים שליליים לגבי התובעת</w:t>
      </w:r>
      <w:r w:rsidRPr="00E56EA6">
        <w:rPr>
          <w:rFonts w:hint="cs"/>
          <w:rtl/>
        </w:rPr>
        <w:t xml:space="preserve"> ואין בסיס לטענת התובעת לפיה היא הושמצה על ידי הנתבעת או מי מטעמה. גם אם </w:t>
      </w:r>
      <w:r>
        <w:rPr>
          <w:rFonts w:hint="cs"/>
          <w:rtl/>
        </w:rPr>
        <w:t>המעביד</w:t>
      </w:r>
      <w:r w:rsidRPr="00E56EA6">
        <w:rPr>
          <w:rFonts w:hint="cs"/>
          <w:rtl/>
        </w:rPr>
        <w:t xml:space="preserve"> פנה לעובדיו ולגורמים העובדים עמו וביקש שלא להמליץ על התובעת, איננו סבורים שהדבר מצדיק פסיקת פיצוי לתובעת, מאחר שההחלטה אם למסור המלצה על עובד היא בשיקול דעת המעביד ואין חובה למסור המלצה</w:t>
      </w:r>
      <w:r>
        <w:rPr>
          <w:rFonts w:hint="cs"/>
          <w:rtl/>
        </w:rPr>
        <w:t>"</w:t>
      </w:r>
      <w:r w:rsidRPr="00E56EA6">
        <w:rPr>
          <w:rFonts w:hint="cs"/>
          <w:rtl/>
        </w:rPr>
        <w:t>.</w:t>
      </w:r>
      <w:r>
        <w:rPr>
          <w:rFonts w:hint="cs"/>
          <w:rtl/>
        </w:rPr>
        <w:t xml:space="preserve"> (</w:t>
      </w:r>
      <w:proofErr w:type="spellStart"/>
      <w:r w:rsidRPr="00E56EA6">
        <w:rPr>
          <w:rtl/>
        </w:rPr>
        <w:t>ס"ע</w:t>
      </w:r>
      <w:proofErr w:type="spellEnd"/>
      <w:r w:rsidRPr="00E56EA6">
        <w:rPr>
          <w:rtl/>
        </w:rPr>
        <w:t xml:space="preserve"> 22612-08-10</w:t>
      </w:r>
      <w:r>
        <w:rPr>
          <w:rFonts w:hint="cs"/>
          <w:rtl/>
        </w:rPr>
        <w:t xml:space="preserve"> ) (שימו לב: המעביד </w:t>
      </w:r>
      <w:r w:rsidRPr="002C0010">
        <w:rPr>
          <w:rFonts w:hint="cs"/>
          <w:b/>
          <w:bCs/>
          <w:rtl/>
        </w:rPr>
        <w:t>סירב</w:t>
      </w:r>
      <w:r>
        <w:rPr>
          <w:rFonts w:hint="cs"/>
          <w:rtl/>
        </w:rPr>
        <w:t xml:space="preserve"> לתת </w:t>
      </w:r>
      <w:proofErr w:type="spellStart"/>
      <w:r>
        <w:rPr>
          <w:rFonts w:hint="cs"/>
          <w:rtl/>
        </w:rPr>
        <w:t>חוו"ד</w:t>
      </w:r>
      <w:proofErr w:type="spellEnd"/>
      <w:r>
        <w:rPr>
          <w:rFonts w:hint="cs"/>
          <w:rtl/>
        </w:rPr>
        <w:t xml:space="preserve"> כל שהיא; הוא </w:t>
      </w:r>
      <w:r w:rsidRPr="002C0010">
        <w:rPr>
          <w:rFonts w:hint="cs"/>
          <w:b/>
          <w:bCs/>
          <w:rtl/>
        </w:rPr>
        <w:t>לא</w:t>
      </w:r>
      <w:r>
        <w:rPr>
          <w:rFonts w:hint="cs"/>
          <w:rtl/>
        </w:rPr>
        <w:t xml:space="preserve"> נתן </w:t>
      </w:r>
      <w:proofErr w:type="spellStart"/>
      <w:r>
        <w:rPr>
          <w:rFonts w:hint="cs"/>
          <w:rtl/>
        </w:rPr>
        <w:t>חוו"ד</w:t>
      </w:r>
      <w:proofErr w:type="spellEnd"/>
      <w:r>
        <w:rPr>
          <w:rFonts w:hint="cs"/>
          <w:rtl/>
        </w:rPr>
        <w:t xml:space="preserve"> רעה). </w:t>
      </w:r>
    </w:p>
    <w:p w:rsidR="00360EF8" w:rsidRPr="009A24BE" w:rsidRDefault="00360EF8" w:rsidP="00360EF8">
      <w:pPr>
        <w:bidi/>
        <w:jc w:val="both"/>
        <w:rPr>
          <w:rtl/>
        </w:rPr>
      </w:pPr>
      <w:r w:rsidRPr="00286718">
        <w:rPr>
          <w:rFonts w:hint="cs"/>
          <w:b/>
          <w:bCs/>
          <w:u w:val="single"/>
          <w:rtl/>
        </w:rPr>
        <w:t>מצלמות אבטחה ומעקב</w:t>
      </w:r>
      <w:r>
        <w:rPr>
          <w:rFonts w:hint="cs"/>
          <w:rtl/>
        </w:rPr>
        <w:t>: מעביד טען שעובדת החתימה כרטיס נוכחות במרמה, וזאת על סמך מצלמת אבטחה שהוצבה ליד שעון הנוכחות. העובדת טענה לפגיעה בפרטיות, ולאי חוקיות הצילום. ביה"ד האזורי פסק:</w:t>
      </w:r>
      <w:r w:rsidRPr="009A24BE">
        <w:rPr>
          <w:rtl/>
        </w:rPr>
        <w:t> "פגיעה בפרטיות" מוגדרת </w:t>
      </w:r>
      <w:r w:rsidRPr="00360EF8">
        <w:rPr>
          <w:rtl/>
        </w:rPr>
        <w:t>בחוק הגנת הפרטיות,</w:t>
      </w:r>
      <w:r w:rsidRPr="009A24BE">
        <w:rPr>
          <w:rtl/>
        </w:rPr>
        <w:t>  כ"</w:t>
      </w:r>
      <w:r w:rsidRPr="009A24BE">
        <w:rPr>
          <w:b/>
          <w:bCs/>
          <w:rtl/>
        </w:rPr>
        <w:t>צילום אדם כשהוא ברשות היחיד</w:t>
      </w:r>
      <w:r w:rsidRPr="009A24BE">
        <w:rPr>
          <w:rtl/>
        </w:rPr>
        <w:t>".</w:t>
      </w:r>
    </w:p>
    <w:p w:rsidR="00360EF8" w:rsidRDefault="00360EF8" w:rsidP="00360EF8">
      <w:pPr>
        <w:bidi/>
        <w:jc w:val="both"/>
        <w:rPr>
          <w:rFonts w:hint="cs"/>
          <w:rtl/>
        </w:rPr>
      </w:pPr>
      <w:r w:rsidRPr="009A24BE">
        <w:rPr>
          <w:rtl/>
        </w:rPr>
        <w:t xml:space="preserve">בענייננו הצילום נעשה ברשות הרבים. העובדת צולמה כשהיא נכנסת או יוצאת </w:t>
      </w:r>
      <w:r w:rsidRPr="009A24BE">
        <w:rPr>
          <w:rtl/>
        </w:rPr>
        <w:lastRenderedPageBreak/>
        <w:t xml:space="preserve">מהבניין או מחתימה כרטיס נוכחות. פעולות אלה אינן מחייבות הגנה מיוחדת על אוטונומיית הפרט. </w:t>
      </w:r>
      <w:r w:rsidRPr="00306949">
        <w:rPr>
          <w:b/>
          <w:bCs/>
          <w:rtl/>
        </w:rPr>
        <w:t>הצילומים אינם מציגים כל מידע אישי ופרטי אודות העובדת</w:t>
      </w:r>
      <w:r w:rsidRPr="009A24BE">
        <w:rPr>
          <w:rtl/>
        </w:rPr>
        <w:t>, למעט עובדת כניסתה ויציאתה מהבניין</w:t>
      </w:r>
      <w:r>
        <w:rPr>
          <w:rFonts w:hint="cs"/>
          <w:rtl/>
        </w:rPr>
        <w:t>"</w:t>
      </w:r>
      <w:r w:rsidRPr="009A24BE">
        <w:rPr>
          <w:rtl/>
        </w:rPr>
        <w:t>.</w:t>
      </w:r>
      <w:r>
        <w:rPr>
          <w:rFonts w:hint="cs"/>
          <w:rtl/>
        </w:rPr>
        <w:t xml:space="preserve">  </w:t>
      </w:r>
      <w:r w:rsidRPr="009A24BE">
        <w:rPr>
          <w:rtl/>
        </w:rPr>
        <w:t xml:space="preserve">  </w:t>
      </w:r>
      <w:r>
        <w:rPr>
          <w:rFonts w:hint="cs"/>
          <w:rtl/>
        </w:rPr>
        <w:t>(</w:t>
      </w:r>
      <w:proofErr w:type="spellStart"/>
      <w:r w:rsidRPr="009A24BE">
        <w:rPr>
          <w:rtl/>
        </w:rPr>
        <w:t>על"ח</w:t>
      </w:r>
      <w:proofErr w:type="spellEnd"/>
      <w:r w:rsidRPr="009A24BE">
        <w:rPr>
          <w:rtl/>
        </w:rPr>
        <w:t xml:space="preserve"> 1116-02-12</w:t>
      </w:r>
      <w:r>
        <w:rPr>
          <w:rFonts w:hint="cs"/>
          <w:rtl/>
        </w:rPr>
        <w:t>)</w:t>
      </w:r>
    </w:p>
    <w:p w:rsidR="00360EF8" w:rsidRDefault="00360EF8" w:rsidP="00360EF8">
      <w:pPr>
        <w:bidi/>
        <w:jc w:val="both"/>
        <w:rPr>
          <w:rFonts w:hint="cs"/>
          <w:rtl/>
        </w:rPr>
      </w:pPr>
      <w:r w:rsidRPr="00F47416">
        <w:rPr>
          <w:rFonts w:hint="cs"/>
          <w:b/>
          <w:bCs/>
          <w:u w:val="single"/>
          <w:rtl/>
        </w:rPr>
        <w:t>עבירה על החוק בגלל הסתמכות על מומחה חיצוני</w:t>
      </w:r>
      <w:r>
        <w:rPr>
          <w:rFonts w:hint="cs"/>
          <w:rtl/>
        </w:rPr>
        <w:t>: מעביד עבר על הוראות חוק העסקת עובדים זרים, בכך שגבה מעובדיו תשלומים עודפים בגין דיור. לטענתו, מנהל החשבונות המכין עבורו את תלושי השכר, יעץ לו לגבי סכומי הניכוי הנכונים. בביה"ד האזורי נמצא כי המדובר במעביד שומר חוק, והוא זוכה, בגלל היעדר כוונה פלילית. ביה"ד הארצי קיבל את ערעור המדינה, וקבע כי "</w:t>
      </w:r>
      <w:r w:rsidRPr="00F47416">
        <w:rPr>
          <w:rtl/>
        </w:rPr>
        <w:t>ישנה בעייתיות בהסתמכות לגבי עניינים בסיסיים</w:t>
      </w:r>
      <w:r>
        <w:rPr>
          <w:rFonts w:hint="cs"/>
          <w:rtl/>
        </w:rPr>
        <w:t>,</w:t>
      </w:r>
      <w:r w:rsidRPr="00F47416">
        <w:rPr>
          <w:rtl/>
        </w:rPr>
        <w:t xml:space="preserve"> </w:t>
      </w:r>
      <w:r w:rsidRPr="00306949">
        <w:rPr>
          <w:b/>
          <w:bCs/>
          <w:rtl/>
        </w:rPr>
        <w:t>שהמעביד צריך לדעת כמעביד</w:t>
      </w:r>
      <w:r>
        <w:rPr>
          <w:rFonts w:hint="cs"/>
          <w:rtl/>
        </w:rPr>
        <w:t>,</w:t>
      </w:r>
      <w:r w:rsidRPr="00F47416">
        <w:rPr>
          <w:rtl/>
        </w:rPr>
        <w:t xml:space="preserve"> ושזהו לכאורה צריך להיות תחום מומחיותו</w:t>
      </w:r>
      <w:r>
        <w:rPr>
          <w:rFonts w:hint="cs"/>
          <w:rtl/>
        </w:rPr>
        <w:t>,</w:t>
      </w:r>
      <w:r w:rsidRPr="00F47416">
        <w:rPr>
          <w:rtl/>
        </w:rPr>
        <w:t xml:space="preserve"> כמו שכר מינימום </w:t>
      </w:r>
      <w:r>
        <w:rPr>
          <w:rFonts w:hint="cs"/>
          <w:rtl/>
        </w:rPr>
        <w:t>ו</w:t>
      </w:r>
      <w:r w:rsidRPr="00F47416">
        <w:rPr>
          <w:rtl/>
        </w:rPr>
        <w:t>ניכוי בגין הוצאות מגורים</w:t>
      </w:r>
      <w:r>
        <w:rPr>
          <w:rFonts w:hint="cs"/>
          <w:rtl/>
        </w:rPr>
        <w:t xml:space="preserve">". </w:t>
      </w:r>
    </w:p>
    <w:p w:rsidR="00360EF8" w:rsidRDefault="00360EF8" w:rsidP="00360EF8">
      <w:pPr>
        <w:bidi/>
        <w:jc w:val="both"/>
        <w:rPr>
          <w:rFonts w:hint="cs"/>
          <w:rtl/>
        </w:rPr>
      </w:pPr>
      <w:r>
        <w:rPr>
          <w:rFonts w:hint="cs"/>
          <w:rtl/>
        </w:rPr>
        <w:t xml:space="preserve">המסקנה: אפילו מעביד "קטן" חייב, לדעת ביה"ד, להכיר את חוקי העבודה... ביה"ד </w:t>
      </w:r>
      <w:r>
        <w:rPr>
          <w:rFonts w:hint="cs"/>
          <w:rtl/>
        </w:rPr>
        <w:lastRenderedPageBreak/>
        <w:t>פסק למעביד קנס נמוך יחסית. (</w:t>
      </w:r>
      <w:r w:rsidRPr="00F47416">
        <w:rPr>
          <w:rtl/>
        </w:rPr>
        <w:t>ע"פ 20815-02-13</w:t>
      </w:r>
      <w:r>
        <w:rPr>
          <w:rFonts w:hint="cs"/>
          <w:rtl/>
        </w:rPr>
        <w:t>)</w:t>
      </w:r>
    </w:p>
    <w:p w:rsidR="00360EF8" w:rsidRDefault="00360EF8" w:rsidP="00360EF8">
      <w:pPr>
        <w:bidi/>
        <w:jc w:val="both"/>
        <w:rPr>
          <w:rFonts w:hint="cs"/>
          <w:rtl/>
        </w:rPr>
      </w:pPr>
      <w:r w:rsidRPr="008A60F9">
        <w:rPr>
          <w:rFonts w:hint="cs"/>
          <w:b/>
          <w:bCs/>
          <w:u w:val="single"/>
          <w:rtl/>
        </w:rPr>
        <w:t>יום מנוחה שבועי</w:t>
      </w:r>
      <w:r>
        <w:rPr>
          <w:rFonts w:hint="cs"/>
          <w:rtl/>
        </w:rPr>
        <w:t>: לפי החוק, יום המנוחה השבועי ליהודי הוא השבת; לגבי לא יהודי- "</w:t>
      </w:r>
      <w:r w:rsidRPr="00F47416">
        <w:rPr>
          <w:rtl/>
        </w:rPr>
        <w:t xml:space="preserve">על המעביד לתת לעובד שאינו יהודי יום מנוחה כקבוע בחוק, </w:t>
      </w:r>
      <w:r w:rsidRPr="00773B7C">
        <w:rPr>
          <w:b/>
          <w:bCs/>
          <w:rtl/>
        </w:rPr>
        <w:t>אך ורק מבין שלושת הימים לגביהם ניתן לקבל יום מנוחה</w:t>
      </w:r>
      <w:r w:rsidRPr="00F47416">
        <w:rPr>
          <w:rtl/>
        </w:rPr>
        <w:t>, דהיינו הימים שישי, שבת וראשון</w:t>
      </w:r>
      <w:r>
        <w:rPr>
          <w:rFonts w:hint="cs"/>
          <w:rtl/>
        </w:rPr>
        <w:t>...</w:t>
      </w:r>
      <w:r w:rsidRPr="00F47416">
        <w:rPr>
          <w:rtl/>
        </w:rPr>
        <w:t xml:space="preserve"> שבוע ימים הינו מיום ראשון עד יום שבת.</w:t>
      </w:r>
      <w:r>
        <w:rPr>
          <w:rFonts w:hint="cs"/>
          <w:rtl/>
        </w:rPr>
        <w:t xml:space="preserve">" (ביה"ד הארצי, </w:t>
      </w:r>
      <w:r w:rsidRPr="00F47416">
        <w:rPr>
          <w:rtl/>
        </w:rPr>
        <w:t>ע"פ 64034-12-12</w:t>
      </w:r>
      <w:r>
        <w:rPr>
          <w:rFonts w:hint="cs"/>
          <w:rtl/>
        </w:rPr>
        <w:t xml:space="preserve">). לעומת זאת, כשעבודת העובד ביום המנוחה השבועי </w:t>
      </w:r>
      <w:r w:rsidRPr="002C0010">
        <w:rPr>
          <w:rFonts w:hint="cs"/>
          <w:b/>
          <w:bCs/>
          <w:rtl/>
        </w:rPr>
        <w:t>מותרת</w:t>
      </w:r>
      <w:r>
        <w:rPr>
          <w:rFonts w:hint="cs"/>
          <w:rtl/>
        </w:rPr>
        <w:t xml:space="preserve"> בחוק- יום המנוחה בפועל, שחובה לתת לעובד </w:t>
      </w:r>
      <w:r w:rsidRPr="002C0010">
        <w:rPr>
          <w:rFonts w:hint="cs"/>
          <w:b/>
          <w:bCs/>
          <w:rtl/>
        </w:rPr>
        <w:t>תמורת</w:t>
      </w:r>
      <w:r>
        <w:rPr>
          <w:rFonts w:hint="cs"/>
          <w:rtl/>
        </w:rPr>
        <w:t xml:space="preserve"> יום המנוחה, יכול להיות כל אחד מימי השבוע.</w:t>
      </w:r>
    </w:p>
    <w:p w:rsidR="00360EF8" w:rsidRDefault="00360EF8" w:rsidP="00360EF8">
      <w:pPr>
        <w:bidi/>
        <w:jc w:val="both"/>
        <w:rPr>
          <w:rtl/>
        </w:rPr>
        <w:sectPr w:rsidR="00360EF8" w:rsidSect="00360EF8">
          <w:type w:val="continuous"/>
          <w:pgSz w:w="11906" w:h="16838"/>
          <w:pgMar w:top="1079" w:right="1800" w:bottom="1258" w:left="1800" w:header="708" w:footer="708" w:gutter="0"/>
          <w:cols w:num="2" w:space="709"/>
          <w:titlePg/>
          <w:bidi/>
          <w:docGrid w:linePitch="360"/>
        </w:sectPr>
      </w:pPr>
      <w:r w:rsidRPr="008A60F9">
        <w:rPr>
          <w:rFonts w:hint="cs"/>
          <w:b/>
          <w:bCs/>
          <w:u w:val="single"/>
          <w:rtl/>
        </w:rPr>
        <w:t>מסירת תלושי שכר</w:t>
      </w:r>
      <w:r>
        <w:rPr>
          <w:rFonts w:hint="cs"/>
          <w:rtl/>
        </w:rPr>
        <w:t xml:space="preserve">: מעביד נהג להציג לעובדיו את תלושי השכר, ולהסבירם בפירוט, אך </w:t>
      </w:r>
      <w:r w:rsidRPr="00306949">
        <w:rPr>
          <w:rFonts w:hint="cs"/>
          <w:b/>
          <w:bCs/>
          <w:rtl/>
        </w:rPr>
        <w:t>לא מסר</w:t>
      </w:r>
      <w:r>
        <w:rPr>
          <w:rFonts w:hint="cs"/>
          <w:rtl/>
        </w:rPr>
        <w:t xml:space="preserve"> אותם בפועל לעובדים. ביה"ד הארצי פסק- בניגוד לדעת ביה"ד האזורי- כי יש בכך בכל זאת עבירה על החוק, וחובה למסור לעובד (כולל עובד זר) את תלושי שכרו, גם אם </w:t>
      </w:r>
      <w:bookmarkStart w:id="0" w:name="_GoBack"/>
      <w:bookmarkEnd w:id="0"/>
      <w:r>
        <w:rPr>
          <w:rFonts w:hint="cs"/>
          <w:rtl/>
        </w:rPr>
        <w:t>מתברר שהעובד זורק את התלושים (</w:t>
      </w:r>
      <w:r w:rsidRPr="008A60F9">
        <w:rPr>
          <w:rtl/>
        </w:rPr>
        <w:t>ע"פ 4947-01-13</w:t>
      </w:r>
      <w:r>
        <w:rPr>
          <w:rFonts w:hint="cs"/>
          <w:rtl/>
        </w:rPr>
        <w:t>)</w:t>
      </w:r>
      <w:r>
        <w:rPr>
          <w:rFonts w:hint="cs"/>
          <w:rtl/>
        </w:rPr>
        <w:t>.</w:t>
      </w:r>
    </w:p>
    <w:p w:rsidR="002D5621" w:rsidRDefault="002D5621" w:rsidP="002D5621">
      <w:pPr>
        <w:bidi/>
        <w:spacing w:line="340" w:lineRule="exact"/>
        <w:rPr>
          <w:rtl/>
        </w:rPr>
      </w:pPr>
    </w:p>
    <w:p w:rsidR="002D5621" w:rsidRDefault="002D5621" w:rsidP="00E45319">
      <w:pPr>
        <w:bidi/>
        <w:jc w:val="center"/>
        <w:rPr>
          <w:b/>
          <w:bCs/>
          <w:color w:val="000000" w:themeColor="text1"/>
          <w:sz w:val="28"/>
          <w:szCs w:val="28"/>
          <w:rtl/>
        </w:rPr>
      </w:pPr>
    </w:p>
    <w:p w:rsidR="00993C05" w:rsidRPr="00993C05" w:rsidRDefault="00993C05" w:rsidP="00993C05">
      <w:pPr>
        <w:bidi/>
        <w:jc w:val="center"/>
        <w:rPr>
          <w:b/>
          <w:bCs/>
          <w:sz w:val="32"/>
          <w:szCs w:val="32"/>
          <w:u w:val="single"/>
          <w:rtl/>
        </w:rPr>
      </w:pPr>
      <w:bookmarkStart w:id="1" w:name="Title"/>
      <w:r w:rsidRPr="00993C05">
        <w:rPr>
          <w:rFonts w:hint="eastAsia"/>
          <w:b/>
          <w:bCs/>
          <w:sz w:val="32"/>
          <w:szCs w:val="32"/>
          <w:u w:val="single"/>
          <w:rtl/>
        </w:rPr>
        <w:t>ה</w:t>
      </w:r>
      <w:r w:rsidRPr="00993C05">
        <w:rPr>
          <w:rFonts w:hint="cs"/>
          <w:b/>
          <w:bCs/>
          <w:sz w:val="32"/>
          <w:szCs w:val="32"/>
          <w:u w:val="single"/>
          <w:rtl/>
        </w:rPr>
        <w:t>צעת חוק מס ערך מוסף (תיקון -</w:t>
      </w:r>
      <w:r w:rsidRPr="00993C05">
        <w:rPr>
          <w:rFonts w:hint="eastAsia"/>
          <w:b/>
          <w:bCs/>
          <w:sz w:val="32"/>
          <w:szCs w:val="32"/>
          <w:u w:val="single"/>
          <w:rtl/>
        </w:rPr>
        <w:t xml:space="preserve"> </w:t>
      </w:r>
      <w:r w:rsidRPr="00993C05">
        <w:rPr>
          <w:rFonts w:hint="cs"/>
          <w:b/>
          <w:bCs/>
          <w:sz w:val="32"/>
          <w:szCs w:val="32"/>
          <w:u w:val="single"/>
          <w:rtl/>
        </w:rPr>
        <w:t>ביטול מס ערך מוסף על הבלו), התשע"ג-</w:t>
      </w:r>
      <w:r w:rsidRPr="00993C05">
        <w:rPr>
          <w:rFonts w:hint="eastAsia"/>
          <w:b/>
          <w:bCs/>
          <w:sz w:val="32"/>
          <w:szCs w:val="32"/>
          <w:u w:val="single"/>
          <w:rtl/>
        </w:rPr>
        <w:t>2013</w:t>
      </w:r>
      <w:bookmarkEnd w:id="1"/>
    </w:p>
    <w:p w:rsidR="00E45319" w:rsidRPr="00E45319" w:rsidRDefault="00E45319" w:rsidP="00E45319">
      <w:pPr>
        <w:bidi/>
        <w:ind w:firstLine="26"/>
        <w:jc w:val="center"/>
        <w:rPr>
          <w:b/>
          <w:bCs/>
          <w:color w:val="000000" w:themeColor="text1"/>
          <w:sz w:val="28"/>
          <w:szCs w:val="28"/>
          <w:rtl/>
        </w:rPr>
      </w:pPr>
      <w:r w:rsidRPr="00E45319">
        <w:rPr>
          <w:rFonts w:hint="cs"/>
          <w:b/>
          <w:bCs/>
          <w:color w:val="000000" w:themeColor="text1"/>
          <w:sz w:val="28"/>
          <w:szCs w:val="28"/>
          <w:rtl/>
        </w:rPr>
        <w:t xml:space="preserve">אלי דורון, עו"ד; ירון </w:t>
      </w:r>
      <w:proofErr w:type="spellStart"/>
      <w:r w:rsidRPr="00E45319">
        <w:rPr>
          <w:rFonts w:hint="cs"/>
          <w:b/>
          <w:bCs/>
          <w:color w:val="000000" w:themeColor="text1"/>
          <w:sz w:val="28"/>
          <w:szCs w:val="28"/>
          <w:rtl/>
        </w:rPr>
        <w:t>טיקוצקי</w:t>
      </w:r>
      <w:proofErr w:type="spellEnd"/>
      <w:r w:rsidRPr="00E45319">
        <w:rPr>
          <w:rFonts w:hint="cs"/>
          <w:b/>
          <w:bCs/>
          <w:color w:val="000000" w:themeColor="text1"/>
          <w:sz w:val="28"/>
          <w:szCs w:val="28"/>
          <w:rtl/>
        </w:rPr>
        <w:t xml:space="preserve">, עו"ד (רו"ח) ; דני </w:t>
      </w:r>
      <w:proofErr w:type="spellStart"/>
      <w:r w:rsidRPr="00E45319">
        <w:rPr>
          <w:rFonts w:hint="cs"/>
          <w:b/>
          <w:bCs/>
          <w:color w:val="000000" w:themeColor="text1"/>
          <w:sz w:val="28"/>
          <w:szCs w:val="28"/>
          <w:rtl/>
        </w:rPr>
        <w:t>פריימן</w:t>
      </w:r>
      <w:proofErr w:type="spellEnd"/>
      <w:r w:rsidRPr="00E45319">
        <w:rPr>
          <w:rFonts w:hint="cs"/>
          <w:b/>
          <w:bCs/>
          <w:color w:val="000000" w:themeColor="text1"/>
          <w:sz w:val="28"/>
          <w:szCs w:val="28"/>
          <w:rtl/>
        </w:rPr>
        <w:t>, משפטן</w:t>
      </w:r>
    </w:p>
    <w:p w:rsidR="003B2E24" w:rsidRDefault="003B2E24" w:rsidP="00555597">
      <w:pPr>
        <w:pStyle w:val="a7"/>
        <w:tabs>
          <w:tab w:val="left" w:pos="4081"/>
          <w:tab w:val="center" w:pos="4153"/>
        </w:tabs>
        <w:jc w:val="left"/>
        <w:rPr>
          <w:b w:val="0"/>
          <w:bCs w:val="0"/>
          <w:color w:val="000000" w:themeColor="text1"/>
          <w:sz w:val="24"/>
          <w:szCs w:val="24"/>
          <w:u w:val="none"/>
          <w:lang w:val="en-US"/>
        </w:rPr>
      </w:pPr>
    </w:p>
    <w:p w:rsidR="00993C05" w:rsidRDefault="00993C05" w:rsidP="00993C05">
      <w:pPr>
        <w:bidi/>
        <w:jc w:val="both"/>
        <w:rPr>
          <w:rtl/>
        </w:rPr>
        <w:sectPr w:rsidR="00993C05">
          <w:type w:val="continuous"/>
          <w:pgSz w:w="11906" w:h="16838"/>
          <w:pgMar w:top="1079" w:right="1800" w:bottom="1258" w:left="1800" w:header="708" w:footer="708" w:gutter="0"/>
          <w:cols w:space="708"/>
          <w:titlePg/>
          <w:docGrid w:linePitch="360"/>
        </w:sectPr>
      </w:pPr>
    </w:p>
    <w:p w:rsidR="00993C05" w:rsidRDefault="00993C05" w:rsidP="00993C05">
      <w:pPr>
        <w:bidi/>
        <w:jc w:val="both"/>
        <w:rPr>
          <w:rtl/>
        </w:rPr>
      </w:pPr>
      <w:r>
        <w:rPr>
          <w:rFonts w:hint="cs"/>
          <w:rtl/>
        </w:rPr>
        <w:lastRenderedPageBreak/>
        <w:t xml:space="preserve">במדינת ישראל קיימות מספר מערכות מס, מהבולטות שביניהן הנן מס הכנסה ומס ערך מוסף. כמו כן ישנם מסים נוספים כגון מיסוי מקרקעין, מס בריאות </w:t>
      </w:r>
      <w:proofErr w:type="spellStart"/>
      <w:r>
        <w:rPr>
          <w:rFonts w:hint="cs"/>
          <w:rtl/>
        </w:rPr>
        <w:t>וכיוצ"ב</w:t>
      </w:r>
      <w:proofErr w:type="spellEnd"/>
      <w:r>
        <w:rPr>
          <w:rFonts w:hint="cs"/>
          <w:rtl/>
        </w:rPr>
        <w:t xml:space="preserve">. אחד המסים המשפיעים שעלה לכותרות לאחרונה הוא מס הבלו, המוטל על מוצרי טבק, משקאות אלכוהוליים ודלק. תכליתו הנה כפולה, הן להניב הכנסות למדינה והן לצמצם את השימוש במוצרים שפורטו עקב הנזק לרווחה החברתית שהם גורמים, מס המכונה </w:t>
      </w:r>
      <w:proofErr w:type="spellStart"/>
      <w:r>
        <w:rPr>
          <w:rFonts w:hint="cs"/>
          <w:rtl/>
        </w:rPr>
        <w:t>פיגוייני</w:t>
      </w:r>
      <w:proofErr w:type="spellEnd"/>
      <w:r>
        <w:rPr>
          <w:rFonts w:hint="cs"/>
          <w:rtl/>
        </w:rPr>
        <w:t>.</w:t>
      </w:r>
    </w:p>
    <w:p w:rsidR="00993C05" w:rsidRDefault="00993C05" w:rsidP="00993C05">
      <w:pPr>
        <w:bidi/>
        <w:jc w:val="both"/>
        <w:rPr>
          <w:rtl/>
        </w:rPr>
      </w:pPr>
      <w:r>
        <w:rPr>
          <w:rFonts w:hint="cs"/>
          <w:rtl/>
        </w:rPr>
        <w:t xml:space="preserve">רכיב הבלו במחיר הדלק נכון ל01.09.2013 הנו 3.05 ₪ לליטר דלק ו2.92 ₪ לליטר סולר. במצב הנוכחי צרכן פרטי הרוכש דלק, משלם מס ערך מוסף (להלן: </w:t>
      </w:r>
      <w:r>
        <w:rPr>
          <w:rFonts w:hint="cs"/>
          <w:b/>
          <w:bCs/>
          <w:rtl/>
        </w:rPr>
        <w:t>"מע"מ"</w:t>
      </w:r>
      <w:r>
        <w:rPr>
          <w:rFonts w:hint="cs"/>
          <w:rtl/>
        </w:rPr>
        <w:t>) הן עבור רכיב הדלק והן עבור רכיב הבלו המגולם במחיר הסופי.  משכך, נוכח שיעור המע"מ בישראל נכון לשנת 2013 -  18%, התוספת ללקוח בעלות הדלק לליטר בנזין הנה כ-0.55 ₪. סך מחיר הדלק, כולל רכיב המע"מ, הנו 7.85 ₪ לליטר. שיעור המע"מ עבור הבלו לרכב ממוצע המשתמש בבנזין הנה כ-1250₪ בשנה (בתחשיב שימוש ממוצע ברכב 25,000 ק"מ בשנה בתצרוכת של 11 ק"מ לליטר).</w:t>
      </w:r>
    </w:p>
    <w:p w:rsidR="00993C05" w:rsidRDefault="00993C05" w:rsidP="00993C05">
      <w:pPr>
        <w:bidi/>
        <w:jc w:val="both"/>
        <w:rPr>
          <w:rtl/>
        </w:rPr>
      </w:pPr>
      <w:r>
        <w:rPr>
          <w:rFonts w:hint="cs"/>
          <w:rtl/>
        </w:rPr>
        <w:t xml:space="preserve">משעמדנו על נתוני התצרוכת והעלות של הדלק בישראל ותיארנו בקצרה את מס הבלו ותכליתו, נבחן הצעת חוק שהוגשה לאחרונה, לביטול המע"מ עבור רכיב הבלו במחיר הדלק. מדברי ההסבר להצעה עולה, כי ההצעה תקל מבחינה כלכלית על מעמד </w:t>
      </w:r>
      <w:r>
        <w:rPr>
          <w:rFonts w:hint="cs"/>
          <w:rtl/>
        </w:rPr>
        <w:lastRenderedPageBreak/>
        <w:t xml:space="preserve">הביניים והנמוך שהתשלום עבור דלק מהווה שיעור משמעותי מהכנסתו. </w:t>
      </w:r>
    </w:p>
    <w:p w:rsidR="00993C05" w:rsidRDefault="00993C05" w:rsidP="00993C05">
      <w:pPr>
        <w:bidi/>
        <w:jc w:val="both"/>
        <w:rPr>
          <w:rtl/>
        </w:rPr>
      </w:pPr>
      <w:r>
        <w:rPr>
          <w:rFonts w:hint="cs"/>
          <w:rtl/>
        </w:rPr>
        <w:t xml:space="preserve">התייחסותנו להצעת החוק שתוארה דלעיל אמביוולנטית. מחד גיסא, ההצעה מקטינה את ההוצאה החודשית של הפרט ובכך מגדילה את רווחתו. מדובר בהוזלה של כ-7% מעלות הדלק שהנה משמעותית ביותר לאור השימוש הנרחב בדלק בישראל. יתר על כן, ההוזלה תאפשר לחשב מחדש עלויות ייצור ושינוע לעסקים ולעוסקים מורשים, ולהגדיל את היקפיהם ברמה המאקרו-כלכלית. מאידך גיסא, ביטול המע"מ על רכיב הבלו יפגע בקופה הציבורית, וכפועל יוצא, בהיקף השירותים שהמדינה מעניקה. בנוסף, כפי שתואר בראשית המאמר, בל לנו לשכוח ששימוש בדלק מזהם ומהווה מפגע סביבתי ואקולוגי. צמצום היקף השימוש בו מהווה את </w:t>
      </w:r>
      <w:proofErr w:type="spellStart"/>
      <w:r>
        <w:rPr>
          <w:rFonts w:hint="cs"/>
          <w:rtl/>
        </w:rPr>
        <w:t>הרציונאל</w:t>
      </w:r>
      <w:proofErr w:type="spellEnd"/>
      <w:r>
        <w:rPr>
          <w:rFonts w:hint="cs"/>
          <w:rtl/>
        </w:rPr>
        <w:t xml:space="preserve"> לחקיקת מס הבלו מלכתחילה. לכן, הוזלת עלות הדלק תגרום שימוש רחב יותר בו ותקטין את הכנסות המדינה ממנו, כך למעשה הרווחה החברתית המצרפית עשויה להיפגע. </w:t>
      </w:r>
    </w:p>
    <w:p w:rsidR="00993C05" w:rsidRDefault="00993C05" w:rsidP="00993C05">
      <w:pPr>
        <w:bidi/>
        <w:jc w:val="both"/>
        <w:rPr>
          <w:rtl/>
        </w:rPr>
      </w:pPr>
      <w:r>
        <w:rPr>
          <w:rFonts w:hint="cs"/>
          <w:rtl/>
        </w:rPr>
        <w:t xml:space="preserve">מבחינה מסויית ניתן לטעון שיש בגביית מע"מ עבור רכיב הבלו כפל מס. מנגד, מדובר בשני בסיסי מס שונים, דוגמא לכך ניתן לראות, בארץ ובעולם, במוצרים מיובאים שנגבה מהם מכס ומע"מ.  במאמר מוסגר יצוין שחלק המע"מ ברכיב הדלק אותו קונות צרכניות הדלק בעלות </w:t>
      </w:r>
      <w:proofErr w:type="spellStart"/>
      <w:r>
        <w:rPr>
          <w:rFonts w:hint="cs"/>
          <w:rtl/>
        </w:rPr>
        <w:t>הרשיון</w:t>
      </w:r>
      <w:proofErr w:type="spellEnd"/>
      <w:r>
        <w:rPr>
          <w:rFonts w:hint="cs"/>
          <w:rtl/>
        </w:rPr>
        <w:t xml:space="preserve">, הנמצאות בראש מארג תעשיית הדלק, אינן יכולות </w:t>
      </w:r>
      <w:r>
        <w:rPr>
          <w:rFonts w:hint="cs"/>
          <w:rtl/>
        </w:rPr>
        <w:lastRenderedPageBreak/>
        <w:t xml:space="preserve">לקזז את רכיב הבלו כנגד מס תשומות. לפיכך שיעור המע"מ בפועל שניגבה עבור דלק גבוה אף יותר מהנהוג במשק, שכן צרכניות הדלק "מגלגלות" את הפסדן מאי הקיזוז ללקוחותיהן וכן הלאה, עד לצרכן הסופי. </w:t>
      </w:r>
    </w:p>
    <w:p w:rsidR="00993C05" w:rsidRPr="00993C05" w:rsidRDefault="00993C05" w:rsidP="00993C05">
      <w:pPr>
        <w:bidi/>
        <w:jc w:val="both"/>
        <w:rPr>
          <w:rtl/>
        </w:rPr>
      </w:pPr>
    </w:p>
    <w:p w:rsidR="00993C05" w:rsidRDefault="00993C05" w:rsidP="00993C05">
      <w:pPr>
        <w:pStyle w:val="a7"/>
        <w:tabs>
          <w:tab w:val="left" w:pos="4081"/>
          <w:tab w:val="center" w:pos="4153"/>
        </w:tabs>
        <w:jc w:val="both"/>
        <w:rPr>
          <w:b w:val="0"/>
          <w:bCs w:val="0"/>
          <w:color w:val="000000" w:themeColor="text1"/>
          <w:sz w:val="24"/>
          <w:szCs w:val="24"/>
          <w:u w:val="none"/>
          <w:lang w:val="en-US"/>
        </w:rPr>
        <w:sectPr w:rsidR="00993C05" w:rsidSect="00993C05">
          <w:type w:val="continuous"/>
          <w:pgSz w:w="11906" w:h="16838"/>
          <w:pgMar w:top="1079" w:right="1800" w:bottom="1258" w:left="1800" w:header="708" w:footer="708" w:gutter="0"/>
          <w:cols w:num="2" w:space="709"/>
          <w:titlePg/>
          <w:bidi/>
          <w:docGrid w:linePitch="360"/>
        </w:sectPr>
      </w:pPr>
      <w:r w:rsidRPr="00993C05">
        <w:rPr>
          <w:rFonts w:cs="David" w:hint="cs"/>
          <w:b w:val="0"/>
          <w:bCs w:val="0"/>
          <w:sz w:val="24"/>
          <w:szCs w:val="24"/>
          <w:u w:val="none"/>
          <w:rtl/>
        </w:rPr>
        <w:t xml:space="preserve">סיכומו של דבר, על פניו נראית הצעת החוק כהוגנת ותואמת את המציאות הישראלית. השיח הציבורי עוסק בשנתיים האחרונות </w:t>
      </w:r>
      <w:r w:rsidRPr="00993C05">
        <w:rPr>
          <w:rFonts w:cs="David" w:hint="cs"/>
          <w:b w:val="0"/>
          <w:bCs w:val="0"/>
          <w:sz w:val="24"/>
          <w:szCs w:val="24"/>
          <w:u w:val="none"/>
          <w:rtl/>
        </w:rPr>
        <w:lastRenderedPageBreak/>
        <w:t>בחיזוק המעמדות המוחלשים והקטנת הנטל על מעמד הביניים, מטרה אותה התיקון נועד לקדם. עם זאת, התיקון אינו חף מפגמים ובעל השלכות שליליות על החברה הישראלית בטווח הקצר והארוך. נדמה שעל המחוקק, בבואו לאשר את הצעת החוק, לבחון ולבצע את האיזון העדין בין האינטרסים</w:t>
      </w:r>
      <w:r>
        <w:rPr>
          <w:rFonts w:cs="David" w:hint="cs"/>
          <w:b w:val="0"/>
          <w:bCs w:val="0"/>
          <w:sz w:val="24"/>
          <w:szCs w:val="24"/>
          <w:u w:val="none"/>
          <w:rtl/>
        </w:rPr>
        <w:t xml:space="preserve"> העומדים משני עבריה.</w:t>
      </w:r>
    </w:p>
    <w:p w:rsidR="003B2E24" w:rsidRPr="00993C05" w:rsidRDefault="003B2E24" w:rsidP="00993C05">
      <w:pPr>
        <w:pStyle w:val="a7"/>
        <w:tabs>
          <w:tab w:val="left" w:pos="4081"/>
          <w:tab w:val="center" w:pos="4153"/>
        </w:tabs>
        <w:jc w:val="both"/>
        <w:rPr>
          <w:b w:val="0"/>
          <w:bCs w:val="0"/>
          <w:color w:val="000000" w:themeColor="text1"/>
          <w:sz w:val="24"/>
          <w:szCs w:val="24"/>
          <w:u w:val="none"/>
          <w:lang w:val="en-US"/>
        </w:rPr>
      </w:pPr>
    </w:p>
    <w:p w:rsidR="00D13FB2" w:rsidRPr="00D13FB2" w:rsidRDefault="00D13FB2" w:rsidP="00D13FB2">
      <w:pPr>
        <w:bidi/>
        <w:jc w:val="center"/>
        <w:rPr>
          <w:b/>
          <w:bCs/>
          <w:sz w:val="32"/>
          <w:szCs w:val="32"/>
          <w:u w:val="single"/>
          <w:rtl/>
        </w:rPr>
      </w:pPr>
      <w:r w:rsidRPr="00D13FB2">
        <w:rPr>
          <w:rFonts w:hint="cs"/>
          <w:b/>
          <w:bCs/>
          <w:sz w:val="32"/>
          <w:szCs w:val="32"/>
          <w:u w:val="single"/>
          <w:rtl/>
        </w:rPr>
        <w:t xml:space="preserve">חיוב עובד בשווי הטבת רכב והוצאות רכב לעצמאי  </w:t>
      </w:r>
      <w:r>
        <w:rPr>
          <w:rFonts w:hint="cs"/>
          <w:b/>
          <w:bCs/>
          <w:sz w:val="32"/>
          <w:szCs w:val="32"/>
          <w:u w:val="single"/>
          <w:rtl/>
        </w:rPr>
        <w:t>-</w:t>
      </w:r>
      <w:r w:rsidRPr="00D13FB2">
        <w:rPr>
          <w:rFonts w:hint="cs"/>
          <w:b/>
          <w:bCs/>
          <w:sz w:val="32"/>
          <w:szCs w:val="32"/>
          <w:u w:val="single"/>
          <w:rtl/>
        </w:rPr>
        <w:t xml:space="preserve"> הדין החדש</w:t>
      </w:r>
    </w:p>
    <w:p w:rsidR="00D13FB2" w:rsidRPr="00D13FB2" w:rsidRDefault="00D13FB2" w:rsidP="00D13FB2">
      <w:pPr>
        <w:bidi/>
        <w:jc w:val="center"/>
        <w:rPr>
          <w:b/>
          <w:bCs/>
          <w:sz w:val="28"/>
          <w:szCs w:val="28"/>
          <w:rtl/>
        </w:rPr>
      </w:pPr>
      <w:r w:rsidRPr="00D13FB2">
        <w:rPr>
          <w:rFonts w:hint="cs"/>
          <w:b/>
          <w:bCs/>
          <w:sz w:val="28"/>
          <w:szCs w:val="28"/>
          <w:rtl/>
        </w:rPr>
        <w:t>עו"ד איתן צחור, יועץ משפטי ללשכת יועצי המס</w:t>
      </w:r>
    </w:p>
    <w:p w:rsidR="00D13FB2" w:rsidRDefault="00D13FB2" w:rsidP="00D13FB2">
      <w:pPr>
        <w:jc w:val="center"/>
        <w:rPr>
          <w:sz w:val="26"/>
          <w:rtl/>
        </w:rPr>
      </w:pPr>
    </w:p>
    <w:p w:rsidR="00D13FB2" w:rsidRDefault="00D13FB2" w:rsidP="00D13FB2">
      <w:pPr>
        <w:numPr>
          <w:ilvl w:val="0"/>
          <w:numId w:val="8"/>
        </w:numPr>
        <w:bidi/>
        <w:jc w:val="both"/>
        <w:rPr>
          <w:sz w:val="26"/>
          <w:rtl/>
        </w:rPr>
        <w:sectPr w:rsidR="00D13FB2">
          <w:type w:val="continuous"/>
          <w:pgSz w:w="11906" w:h="16838"/>
          <w:pgMar w:top="1079" w:right="1800" w:bottom="1258" w:left="1800" w:header="708" w:footer="708" w:gutter="0"/>
          <w:cols w:space="708"/>
          <w:titlePg/>
          <w:docGrid w:linePitch="360"/>
        </w:sectPr>
      </w:pPr>
    </w:p>
    <w:p w:rsidR="00D13FB2" w:rsidRDefault="00D13FB2" w:rsidP="00D13FB2">
      <w:pPr>
        <w:numPr>
          <w:ilvl w:val="0"/>
          <w:numId w:val="8"/>
        </w:numPr>
        <w:bidi/>
        <w:jc w:val="both"/>
        <w:rPr>
          <w:sz w:val="26"/>
        </w:rPr>
      </w:pPr>
      <w:r>
        <w:rPr>
          <w:rFonts w:hint="cs"/>
          <w:sz w:val="26"/>
          <w:rtl/>
        </w:rPr>
        <w:lastRenderedPageBreak/>
        <w:t>החל משנת 2008 תוקנו תקנות מס הכנסה (ניכוי הוצאת רכב) ובנוסח החדש הורחבה הגדרת "רכב" הכוללת מעתה כל רכב ואופנוע בסייגים הבאים:</w:t>
      </w:r>
    </w:p>
    <w:p w:rsidR="00D13FB2" w:rsidRPr="00A6668A" w:rsidRDefault="00D13FB2" w:rsidP="00D13FB2">
      <w:pPr>
        <w:bidi/>
        <w:ind w:left="720"/>
        <w:jc w:val="both"/>
        <w:rPr>
          <w:b/>
          <w:bCs/>
          <w:i/>
          <w:iCs/>
          <w:sz w:val="26"/>
          <w:rtl/>
        </w:rPr>
      </w:pPr>
      <w:r w:rsidRPr="00A6668A">
        <w:rPr>
          <w:rFonts w:hint="cs"/>
          <w:b/>
          <w:bCs/>
          <w:i/>
          <w:iCs/>
          <w:sz w:val="26"/>
          <w:rtl/>
        </w:rPr>
        <w:t xml:space="preserve">" </w:t>
      </w:r>
      <w:r w:rsidRPr="00A6668A">
        <w:rPr>
          <w:b/>
          <w:bCs/>
          <w:i/>
          <w:iCs/>
          <w:sz w:val="26"/>
          <w:rtl/>
        </w:rPr>
        <w:t xml:space="preserve">"רכב" </w:t>
      </w:r>
      <w:r>
        <w:rPr>
          <w:rFonts w:hint="cs"/>
          <w:b/>
          <w:bCs/>
          <w:i/>
          <w:iCs/>
          <w:sz w:val="26"/>
          <w:rtl/>
        </w:rPr>
        <w:t>...</w:t>
      </w:r>
      <w:r w:rsidRPr="00A6668A">
        <w:rPr>
          <w:b/>
          <w:bCs/>
          <w:i/>
          <w:iCs/>
          <w:sz w:val="26"/>
          <w:rtl/>
        </w:rPr>
        <w:t xml:space="preserve">, </w:t>
      </w:r>
      <w:r w:rsidRPr="0089658B">
        <w:rPr>
          <w:b/>
          <w:bCs/>
          <w:i/>
          <w:iCs/>
          <w:sz w:val="26"/>
          <w:u w:val="single"/>
          <w:rtl/>
        </w:rPr>
        <w:t>למעט רכב עבודה</w:t>
      </w:r>
      <w:r w:rsidRPr="00A6668A">
        <w:rPr>
          <w:b/>
          <w:bCs/>
          <w:i/>
          <w:iCs/>
          <w:sz w:val="26"/>
          <w:rtl/>
        </w:rPr>
        <w:t xml:space="preserve"> כמשמעותו בפקודת התעבורה</w:t>
      </w:r>
      <w:r w:rsidRPr="0089658B">
        <w:rPr>
          <w:b/>
          <w:bCs/>
          <w:i/>
          <w:iCs/>
          <w:sz w:val="26"/>
          <w:u w:val="single"/>
          <w:rtl/>
        </w:rPr>
        <w:t>, ולמעט רכב תפעולי</w:t>
      </w:r>
      <w:r w:rsidRPr="00A6668A">
        <w:rPr>
          <w:b/>
          <w:bCs/>
          <w:i/>
          <w:iCs/>
          <w:sz w:val="26"/>
          <w:rtl/>
        </w:rPr>
        <w:t>, בין שבבעלותו של הנישום ובין שלא בבעלותו, ובלבד שמשקלו הכולל המותר פחות מ-3,500 ק"ג.</w:t>
      </w:r>
    </w:p>
    <w:p w:rsidR="00D13FB2" w:rsidRPr="00D17A6B" w:rsidRDefault="00D13FB2" w:rsidP="00D13FB2">
      <w:pPr>
        <w:numPr>
          <w:ilvl w:val="0"/>
          <w:numId w:val="8"/>
        </w:numPr>
        <w:bidi/>
        <w:jc w:val="both"/>
        <w:rPr>
          <w:sz w:val="26"/>
          <w:rtl/>
        </w:rPr>
      </w:pPr>
      <w:r w:rsidRPr="00D17A6B">
        <w:rPr>
          <w:rFonts w:hint="cs"/>
          <w:sz w:val="26"/>
          <w:rtl/>
        </w:rPr>
        <w:t>התוספת בתיקון משנת 2008 היא שבנוסף לרכב עבודה, הוחרגו עוד סוג של כלי רכב מכלל הרכבים שההוצאות בגינן אינן מותרות בניכוי, ואלה הם הרכבים הכלולים בהגדרת "רכב תפעולי".</w:t>
      </w:r>
    </w:p>
    <w:p w:rsidR="00D13FB2" w:rsidRDefault="00D13FB2" w:rsidP="00D13FB2">
      <w:pPr>
        <w:numPr>
          <w:ilvl w:val="0"/>
          <w:numId w:val="8"/>
        </w:numPr>
        <w:bidi/>
        <w:jc w:val="both"/>
        <w:rPr>
          <w:sz w:val="26"/>
          <w:rtl/>
        </w:rPr>
      </w:pPr>
      <w:r>
        <w:rPr>
          <w:rFonts w:hint="cs"/>
          <w:sz w:val="26"/>
          <w:rtl/>
        </w:rPr>
        <w:t>סוג רכב זה מוגדר כדלקמן:</w:t>
      </w:r>
    </w:p>
    <w:p w:rsidR="00D13FB2" w:rsidRPr="00BB3167" w:rsidRDefault="00D13FB2" w:rsidP="00D13FB2">
      <w:pPr>
        <w:bidi/>
        <w:ind w:left="720"/>
        <w:jc w:val="both"/>
        <w:rPr>
          <w:b/>
          <w:bCs/>
          <w:i/>
          <w:iCs/>
          <w:sz w:val="26"/>
          <w:rtl/>
        </w:rPr>
      </w:pPr>
      <w:r w:rsidRPr="00BB3167">
        <w:rPr>
          <w:rFonts w:hint="cs"/>
          <w:b/>
          <w:bCs/>
          <w:i/>
          <w:iCs/>
          <w:sz w:val="26"/>
          <w:rtl/>
        </w:rPr>
        <w:t xml:space="preserve">" </w:t>
      </w:r>
      <w:r w:rsidRPr="00BB3167">
        <w:rPr>
          <w:b/>
          <w:bCs/>
          <w:i/>
          <w:iCs/>
          <w:sz w:val="26"/>
          <w:rtl/>
        </w:rPr>
        <w:t>"רכב תפעולי" - רכב שהתקיים בו, להנחת דעתו של פקיד השומה, אחד מאלה:</w:t>
      </w:r>
    </w:p>
    <w:p w:rsidR="00D13FB2" w:rsidRPr="00BB3167" w:rsidRDefault="00D13FB2" w:rsidP="00D13FB2">
      <w:pPr>
        <w:bidi/>
        <w:ind w:left="720"/>
        <w:jc w:val="both"/>
        <w:rPr>
          <w:b/>
          <w:bCs/>
          <w:i/>
          <w:iCs/>
          <w:sz w:val="26"/>
          <w:rtl/>
        </w:rPr>
      </w:pPr>
      <w:r w:rsidRPr="00BB3167">
        <w:rPr>
          <w:b/>
          <w:bCs/>
          <w:i/>
          <w:iCs/>
          <w:sz w:val="26"/>
          <w:rtl/>
        </w:rPr>
        <w:t>(1)     הרכב הוא רכב ביטחון, כהגדרתו בתקנות התעבורה, התשכ"א-1961, המשמש בפעילות מבצעית או ביטחונית בלבד;</w:t>
      </w:r>
    </w:p>
    <w:p w:rsidR="00D13FB2" w:rsidRPr="00BB3167" w:rsidRDefault="00D13FB2" w:rsidP="00D13FB2">
      <w:pPr>
        <w:bidi/>
        <w:ind w:left="720"/>
        <w:jc w:val="both"/>
        <w:rPr>
          <w:b/>
          <w:bCs/>
          <w:i/>
          <w:iCs/>
          <w:sz w:val="26"/>
          <w:rtl/>
        </w:rPr>
      </w:pPr>
      <w:r w:rsidRPr="00BB3167">
        <w:rPr>
          <w:b/>
          <w:bCs/>
          <w:i/>
          <w:iCs/>
          <w:sz w:val="26"/>
          <w:rtl/>
        </w:rPr>
        <w:t>(2</w:t>
      </w:r>
      <w:r w:rsidRPr="009B51EF">
        <w:rPr>
          <w:b/>
          <w:bCs/>
          <w:i/>
          <w:iCs/>
          <w:sz w:val="26"/>
          <w:u w:val="single"/>
          <w:rtl/>
        </w:rPr>
        <w:t>)     הרכב לא הועמד לרשות עובד כלשהו של המעביד, הוא משמש רק לצורכי המעביד או בעל משלח היד או העסק, לפי העניין</w:t>
      </w:r>
      <w:r w:rsidRPr="00BB3167">
        <w:rPr>
          <w:b/>
          <w:bCs/>
          <w:i/>
          <w:iCs/>
          <w:sz w:val="26"/>
          <w:rtl/>
        </w:rPr>
        <w:t>, מקום העיסוק של המעביד, של בעל משלח היד או של בעל העסק, לפי העניין - אינו בבית מגוריו ובתום שעות העבודה הרכב אינו יוצא מחוץ למקום העיסוק</w:t>
      </w:r>
      <w:r w:rsidRPr="00BB3167">
        <w:rPr>
          <w:rFonts w:hint="cs"/>
          <w:b/>
          <w:bCs/>
          <w:i/>
          <w:iCs/>
          <w:sz w:val="26"/>
          <w:rtl/>
        </w:rPr>
        <w:t xml:space="preserve">". </w:t>
      </w:r>
    </w:p>
    <w:p w:rsidR="00D13FB2" w:rsidRDefault="00D13FB2" w:rsidP="00D13FB2">
      <w:pPr>
        <w:numPr>
          <w:ilvl w:val="0"/>
          <w:numId w:val="8"/>
        </w:numPr>
        <w:bidi/>
        <w:jc w:val="both"/>
        <w:rPr>
          <w:sz w:val="26"/>
        </w:rPr>
      </w:pPr>
      <w:r>
        <w:rPr>
          <w:rFonts w:hint="cs"/>
          <w:sz w:val="26"/>
          <w:rtl/>
        </w:rPr>
        <w:t xml:space="preserve">האפשרות החדשה הנפתחת לדרישת מלוא ההוצאה - טמונה בעיקר בהגדרה החדשה של "רכב תפעולי" ובעיקר </w:t>
      </w:r>
      <w:proofErr w:type="spellStart"/>
      <w:r>
        <w:rPr>
          <w:rFonts w:hint="cs"/>
          <w:sz w:val="26"/>
          <w:rtl/>
        </w:rPr>
        <w:t>בפיסקה</w:t>
      </w:r>
      <w:proofErr w:type="spellEnd"/>
      <w:r>
        <w:rPr>
          <w:rFonts w:hint="cs"/>
          <w:sz w:val="26"/>
          <w:rtl/>
        </w:rPr>
        <w:t xml:space="preserve"> </w:t>
      </w:r>
      <w:proofErr w:type="spellStart"/>
      <w:r>
        <w:rPr>
          <w:rFonts w:hint="cs"/>
          <w:sz w:val="26"/>
          <w:rtl/>
        </w:rPr>
        <w:t>השניה</w:t>
      </w:r>
      <w:proofErr w:type="spellEnd"/>
      <w:r>
        <w:rPr>
          <w:rFonts w:hint="cs"/>
          <w:sz w:val="26"/>
          <w:rtl/>
        </w:rPr>
        <w:t xml:space="preserve"> (</w:t>
      </w:r>
      <w:proofErr w:type="spellStart"/>
      <w:r>
        <w:rPr>
          <w:rFonts w:hint="cs"/>
          <w:sz w:val="26"/>
          <w:rtl/>
        </w:rPr>
        <w:t>הפיסקה</w:t>
      </w:r>
      <w:proofErr w:type="spellEnd"/>
      <w:r>
        <w:rPr>
          <w:rFonts w:hint="cs"/>
          <w:sz w:val="26"/>
          <w:rtl/>
        </w:rPr>
        <w:t xml:space="preserve"> הראשונה מוסיפה "רכב בטחון" ובחינת משמעותו  תהא דומה לזו  של "רכב עבודה" אף שגם הגדרה זו , כפי שניווכח, נוטה הפסיקה להרחיב ולא לקבוע עמדה רק על  פי הרישום </w:t>
      </w:r>
      <w:proofErr w:type="spellStart"/>
      <w:r>
        <w:rPr>
          <w:rFonts w:hint="cs"/>
          <w:sz w:val="26"/>
          <w:rtl/>
        </w:rPr>
        <w:t>ברשיון</w:t>
      </w:r>
      <w:proofErr w:type="spellEnd"/>
      <w:r>
        <w:rPr>
          <w:rFonts w:hint="cs"/>
          <w:sz w:val="26"/>
          <w:rtl/>
        </w:rPr>
        <w:t xml:space="preserve"> הרכב).</w:t>
      </w:r>
    </w:p>
    <w:p w:rsidR="00D13FB2" w:rsidRDefault="00D13FB2" w:rsidP="00D13FB2">
      <w:pPr>
        <w:numPr>
          <w:ilvl w:val="0"/>
          <w:numId w:val="8"/>
        </w:numPr>
        <w:bidi/>
        <w:jc w:val="both"/>
        <w:rPr>
          <w:sz w:val="26"/>
        </w:rPr>
      </w:pPr>
      <w:r w:rsidRPr="00C017C5">
        <w:rPr>
          <w:rFonts w:hint="cs"/>
          <w:b/>
          <w:bCs/>
          <w:sz w:val="26"/>
          <w:rtl/>
        </w:rPr>
        <w:lastRenderedPageBreak/>
        <w:t xml:space="preserve">לפיכך השאלה העומדת לדיון היא </w:t>
      </w:r>
      <w:r w:rsidRPr="00C017C5">
        <w:rPr>
          <w:b/>
          <w:bCs/>
          <w:sz w:val="26"/>
          <w:rtl/>
        </w:rPr>
        <w:t>–</w:t>
      </w:r>
      <w:r w:rsidRPr="00C017C5">
        <w:rPr>
          <w:rFonts w:hint="cs"/>
          <w:b/>
          <w:bCs/>
          <w:sz w:val="26"/>
          <w:rtl/>
        </w:rPr>
        <w:t xml:space="preserve">  מהו רכב </w:t>
      </w:r>
      <w:r>
        <w:rPr>
          <w:rFonts w:hint="cs"/>
          <w:b/>
          <w:bCs/>
          <w:sz w:val="26"/>
          <w:rtl/>
        </w:rPr>
        <w:t xml:space="preserve">המשמש אך ורק לצרכי המעביד </w:t>
      </w:r>
      <w:r w:rsidRPr="00C017C5">
        <w:rPr>
          <w:rFonts w:hint="cs"/>
          <w:b/>
          <w:bCs/>
          <w:sz w:val="26"/>
          <w:rtl/>
        </w:rPr>
        <w:t>העומד לרשות העובד או המשמש את העצמאי</w:t>
      </w:r>
      <w:r>
        <w:rPr>
          <w:rFonts w:hint="cs"/>
          <w:b/>
          <w:bCs/>
          <w:sz w:val="26"/>
          <w:rtl/>
        </w:rPr>
        <w:t>,</w:t>
      </w:r>
      <w:r w:rsidRPr="00C017C5">
        <w:rPr>
          <w:rFonts w:hint="cs"/>
          <w:b/>
          <w:bCs/>
          <w:sz w:val="26"/>
          <w:rtl/>
        </w:rPr>
        <w:t xml:space="preserve"> הנכלל בהגדרת "רכב תפעולי"?, כלומר מהו רכב שהוצאותיו לא יוגבלו</w:t>
      </w:r>
      <w:r>
        <w:rPr>
          <w:rFonts w:hint="cs"/>
          <w:b/>
          <w:bCs/>
          <w:sz w:val="26"/>
          <w:rtl/>
        </w:rPr>
        <w:t xml:space="preserve"> כלל</w:t>
      </w:r>
      <w:r w:rsidRPr="00C017C5">
        <w:rPr>
          <w:rFonts w:hint="cs"/>
          <w:b/>
          <w:bCs/>
          <w:sz w:val="26"/>
          <w:rtl/>
        </w:rPr>
        <w:t xml:space="preserve"> על פי התקנות החדשות</w:t>
      </w:r>
      <w:r>
        <w:rPr>
          <w:rFonts w:hint="cs"/>
          <w:b/>
          <w:bCs/>
          <w:sz w:val="26"/>
          <w:rtl/>
        </w:rPr>
        <w:t xml:space="preserve"> ולא יזקפו טובת הנאה החייבת במס</w:t>
      </w:r>
      <w:r w:rsidRPr="00C017C5">
        <w:rPr>
          <w:rFonts w:hint="cs"/>
          <w:b/>
          <w:bCs/>
          <w:sz w:val="26"/>
          <w:rtl/>
        </w:rPr>
        <w:t>?</w:t>
      </w:r>
    </w:p>
    <w:p w:rsidR="00D13FB2" w:rsidRPr="00B21FA3" w:rsidRDefault="00D13FB2" w:rsidP="00D13FB2">
      <w:pPr>
        <w:bidi/>
        <w:jc w:val="both"/>
        <w:rPr>
          <w:b/>
          <w:bCs/>
          <w:u w:val="single"/>
          <w:rtl/>
        </w:rPr>
      </w:pPr>
      <w:r w:rsidRPr="00B21FA3">
        <w:rPr>
          <w:rFonts w:hint="cs"/>
          <w:b/>
          <w:bCs/>
          <w:u w:val="single"/>
          <w:rtl/>
        </w:rPr>
        <w:t>ההלכה הפסוקה</w:t>
      </w:r>
    </w:p>
    <w:p w:rsidR="00D13FB2" w:rsidRDefault="00D13FB2" w:rsidP="00D13FB2">
      <w:pPr>
        <w:numPr>
          <w:ilvl w:val="0"/>
          <w:numId w:val="9"/>
        </w:numPr>
        <w:bidi/>
        <w:jc w:val="both"/>
      </w:pPr>
      <w:r w:rsidRPr="00F6755A">
        <w:rPr>
          <w:rFonts w:hint="cs"/>
          <w:b/>
          <w:bCs/>
          <w:u w:val="single"/>
          <w:rtl/>
        </w:rPr>
        <w:t>מבחן נוחות המעביד</w:t>
      </w:r>
      <w:r>
        <w:rPr>
          <w:rFonts w:hint="cs"/>
          <w:rtl/>
        </w:rPr>
        <w:t xml:space="preserve">: מבחן-העל הידוע לקביעת ייחוס הטבה לעובד הוא "מבחן נוחות המעביד" שנקבע בהלכת "דן" ואשר אוזכר בהלכות רבות שמהן המשתמע הוא, שכאשר גובר באופן ברור אינטרס המעביד לביצוע ההוצאה - על פני אינטרס העובד </w:t>
      </w:r>
      <w:proofErr w:type="spellStart"/>
      <w:r>
        <w:rPr>
          <w:rFonts w:hint="cs"/>
          <w:rtl/>
        </w:rPr>
        <w:t>המעונין</w:t>
      </w:r>
      <w:proofErr w:type="spellEnd"/>
      <w:r>
        <w:rPr>
          <w:rFonts w:hint="cs"/>
          <w:rtl/>
        </w:rPr>
        <w:t xml:space="preserve"> בהטבה -  מן הראוי שלא לחייב את העובד במס בגין "הטבה" זו.</w:t>
      </w:r>
    </w:p>
    <w:p w:rsidR="00D13FB2" w:rsidRDefault="00D13FB2" w:rsidP="00D13FB2">
      <w:pPr>
        <w:numPr>
          <w:ilvl w:val="0"/>
          <w:numId w:val="9"/>
        </w:numPr>
        <w:bidi/>
        <w:jc w:val="both"/>
      </w:pPr>
      <w:r w:rsidRPr="000B33A9">
        <w:rPr>
          <w:rFonts w:hint="cs"/>
          <w:b/>
          <w:bCs/>
          <w:u w:val="single"/>
          <w:rtl/>
        </w:rPr>
        <w:t>מבחן המציאות</w:t>
      </w:r>
      <w:r w:rsidRPr="00F6755A">
        <w:rPr>
          <w:rFonts w:hint="cs"/>
          <w:rtl/>
        </w:rPr>
        <w:t>:</w:t>
      </w:r>
      <w:r>
        <w:rPr>
          <w:rFonts w:hint="cs"/>
          <w:rtl/>
        </w:rPr>
        <w:t xml:space="preserve"> הפסיקה החדשה מעדיפה את מבחן המציאות על  פני הקבוע בתקנות ניכוי הוצאות רכב. הכוונה לפסק דין העקרוני שדן בסוגיה זו בבית המשפט המחוזי בחיפה </w:t>
      </w:r>
      <w:proofErr w:type="spellStart"/>
      <w:r>
        <w:rPr>
          <w:rFonts w:hint="cs"/>
          <w:rtl/>
        </w:rPr>
        <w:t>בענין</w:t>
      </w:r>
      <w:proofErr w:type="spellEnd"/>
      <w:r>
        <w:rPr>
          <w:rFonts w:hint="cs"/>
          <w:rtl/>
        </w:rPr>
        <w:t xml:space="preserve"> </w:t>
      </w:r>
      <w:r w:rsidRPr="000B33A9">
        <w:rPr>
          <w:rFonts w:hint="cs"/>
          <w:b/>
          <w:bCs/>
          <w:rtl/>
        </w:rPr>
        <w:t>עירית נהריה</w:t>
      </w:r>
      <w:r>
        <w:rPr>
          <w:rFonts w:hint="cs"/>
          <w:rtl/>
        </w:rPr>
        <w:t xml:space="preserve"> (</w:t>
      </w:r>
      <w:r>
        <w:rPr>
          <w:rtl/>
        </w:rPr>
        <w:t xml:space="preserve">ע"מ 06-872, עיריית נהריה נ' פקיד שומה עכו מיסים </w:t>
      </w:r>
      <w:proofErr w:type="spellStart"/>
      <w:r>
        <w:rPr>
          <w:rtl/>
        </w:rPr>
        <w:t>כג</w:t>
      </w:r>
      <w:proofErr w:type="spellEnd"/>
      <w:r>
        <w:rPr>
          <w:rtl/>
        </w:rPr>
        <w:t>/6</w:t>
      </w:r>
      <w:r>
        <w:rPr>
          <w:rFonts w:hint="cs"/>
          <w:rtl/>
        </w:rPr>
        <w:t xml:space="preserve">) ולמספר פסקי דין מאוחרים יותר שאינם משנים את מהות </w:t>
      </w:r>
      <w:proofErr w:type="spellStart"/>
      <w:r>
        <w:rPr>
          <w:rFonts w:hint="cs"/>
          <w:rtl/>
        </w:rPr>
        <w:t>העקרון</w:t>
      </w:r>
      <w:proofErr w:type="spellEnd"/>
      <w:r>
        <w:rPr>
          <w:rFonts w:hint="cs"/>
          <w:rtl/>
        </w:rPr>
        <w:t xml:space="preserve"> החדש.</w:t>
      </w:r>
    </w:p>
    <w:p w:rsidR="00D13FB2" w:rsidRDefault="00D13FB2" w:rsidP="00D13FB2">
      <w:pPr>
        <w:numPr>
          <w:ilvl w:val="0"/>
          <w:numId w:val="9"/>
        </w:numPr>
        <w:bidi/>
        <w:jc w:val="both"/>
      </w:pPr>
      <w:r>
        <w:rPr>
          <w:rFonts w:hint="cs"/>
          <w:b/>
          <w:bCs/>
          <w:u w:val="single"/>
          <w:rtl/>
        </w:rPr>
        <w:t>משמעות הלכת עירית נהריה</w:t>
      </w:r>
    </w:p>
    <w:p w:rsidR="00D13FB2" w:rsidRDefault="00D13FB2" w:rsidP="00D13FB2">
      <w:pPr>
        <w:bidi/>
        <w:ind w:left="720"/>
        <w:jc w:val="both"/>
      </w:pPr>
      <w:r>
        <w:rPr>
          <w:rFonts w:hint="cs"/>
          <w:rtl/>
        </w:rPr>
        <w:t xml:space="preserve"> במקרה הנ"ל היו בבעלות העיריה</w:t>
      </w:r>
      <w:r>
        <w:rPr>
          <w:rtl/>
        </w:rPr>
        <w:t xml:space="preserve"> 30 כלי רכב </w:t>
      </w:r>
      <w:r>
        <w:rPr>
          <w:rFonts w:hint="cs"/>
          <w:rtl/>
        </w:rPr>
        <w:t>פרטיים</w:t>
      </w:r>
      <w:r>
        <w:rPr>
          <w:rtl/>
        </w:rPr>
        <w:t>.</w:t>
      </w:r>
      <w:r>
        <w:rPr>
          <w:rFonts w:hint="cs"/>
          <w:rtl/>
        </w:rPr>
        <w:t xml:space="preserve"> פקיד השומה חייב את העיריה לזקוף שווי הטבה לעובדים אולם </w:t>
      </w:r>
      <w:r>
        <w:rPr>
          <w:rtl/>
        </w:rPr>
        <w:t xml:space="preserve"> לטענת העיריה, כלי הרכב </w:t>
      </w:r>
      <w:r>
        <w:rPr>
          <w:rFonts w:hint="cs"/>
          <w:rtl/>
        </w:rPr>
        <w:t xml:space="preserve">הללו, על אף הגדרתם כ"רכב פרטי" </w:t>
      </w:r>
      <w:r>
        <w:rPr>
          <w:rtl/>
        </w:rPr>
        <w:t xml:space="preserve">לא שימשו איש </w:t>
      </w:r>
      <w:proofErr w:type="spellStart"/>
      <w:r>
        <w:rPr>
          <w:rtl/>
        </w:rPr>
        <w:t>בעיריה</w:t>
      </w:r>
      <w:proofErr w:type="spellEnd"/>
      <w:r>
        <w:rPr>
          <w:rtl/>
        </w:rPr>
        <w:t xml:space="preserve"> לצרכים פרטיים אלא לצרכי פעילותה של העיריה בלבד בתחום התברואה, הגינון, המים, הביוב, האחזקה ועוד. </w:t>
      </w:r>
    </w:p>
    <w:p w:rsidR="00D13FB2" w:rsidRDefault="00D13FB2" w:rsidP="00D13FB2">
      <w:pPr>
        <w:bidi/>
        <w:ind w:left="720"/>
        <w:jc w:val="both"/>
        <w:rPr>
          <w:rtl/>
        </w:rPr>
      </w:pPr>
      <w:r w:rsidRPr="0031226F">
        <w:rPr>
          <w:rFonts w:hint="cs"/>
          <w:rtl/>
        </w:rPr>
        <w:t xml:space="preserve">בית המשפט דחה לחלוטין את עמדת פקיד השומה וקבע שתקנות ניכוי הוצאות רכב המגבילות את ההוצאה, הן המהוות חריג לדין הכללי הקבוע בסעיף 17 לפקודה, </w:t>
      </w:r>
      <w:r w:rsidRPr="0031226F">
        <w:rPr>
          <w:rFonts w:hint="cs"/>
          <w:rtl/>
        </w:rPr>
        <w:lastRenderedPageBreak/>
        <w:t>המתיר  בניכוי כל הוצאה בייצור הכנסה. נקבע שאין בכוחה של חקיקת משנה לשנות את הדין המהותי. אשר על כן, בית המשפט סיווג את הרכבים הללו כ"רכב עבודה"</w:t>
      </w:r>
      <w:r>
        <w:rPr>
          <w:rFonts w:hint="cs"/>
          <w:rtl/>
        </w:rPr>
        <w:t xml:space="preserve"> אף שהגדרה זו לא הופיעה כלל </w:t>
      </w:r>
      <w:proofErr w:type="spellStart"/>
      <w:r>
        <w:rPr>
          <w:rFonts w:hint="cs"/>
          <w:rtl/>
        </w:rPr>
        <w:t>ברשיון</w:t>
      </w:r>
      <w:proofErr w:type="spellEnd"/>
      <w:r>
        <w:rPr>
          <w:rFonts w:hint="cs"/>
          <w:rtl/>
        </w:rPr>
        <w:t xml:space="preserve"> הרכבים הנ"ל.  כלומר בית המשפט מצמצם את תחולת התקנות השוללות ניכוי הוצאות רכב עד לכדי מינימום, בנימוק שיש בהן משום "חזקה הניתנת לסתירה".</w:t>
      </w:r>
    </w:p>
    <w:p w:rsidR="00D13FB2" w:rsidRDefault="00D13FB2" w:rsidP="00D13FB2">
      <w:pPr>
        <w:bidi/>
        <w:ind w:left="720"/>
        <w:jc w:val="both"/>
        <w:rPr>
          <w:rtl/>
        </w:rPr>
      </w:pPr>
      <w:r>
        <w:rPr>
          <w:rFonts w:hint="cs"/>
          <w:rtl/>
        </w:rPr>
        <w:t xml:space="preserve">עוד </w:t>
      </w:r>
      <w:proofErr w:type="spellStart"/>
      <w:r>
        <w:rPr>
          <w:rFonts w:hint="cs"/>
          <w:rtl/>
        </w:rPr>
        <w:t>יצויין</w:t>
      </w:r>
      <w:proofErr w:type="spellEnd"/>
      <w:r>
        <w:rPr>
          <w:rFonts w:hint="cs"/>
          <w:rtl/>
        </w:rPr>
        <w:t xml:space="preserve"> כי בית המשפט מתייחס בדרך אגב, גם להגדרה החדשה של "רכב תפעולי" (אף שהגדרה זו לא חלה בשנות המס שבהן דן פסק הדין), ומכאן שאילו  ניתן פסק הדין הנ"ל כיום, </w:t>
      </w:r>
      <w:r w:rsidRPr="0031226F">
        <w:rPr>
          <w:rFonts w:hint="cs"/>
          <w:b/>
          <w:bCs/>
          <w:rtl/>
        </w:rPr>
        <w:t>היו הדברים נאמרים באופן נחרץ הרבה יותר</w:t>
      </w:r>
      <w:r>
        <w:rPr>
          <w:rFonts w:hint="cs"/>
          <w:rtl/>
        </w:rPr>
        <w:t>.</w:t>
      </w:r>
    </w:p>
    <w:p w:rsidR="00D13FB2" w:rsidRPr="0031226F" w:rsidRDefault="00D13FB2" w:rsidP="00D13FB2">
      <w:pPr>
        <w:bidi/>
        <w:ind w:left="720"/>
        <w:jc w:val="both"/>
        <w:rPr>
          <w:b/>
          <w:bCs/>
          <w:rtl/>
        </w:rPr>
      </w:pPr>
      <w:r w:rsidRPr="0031226F">
        <w:rPr>
          <w:rFonts w:hint="cs"/>
          <w:b/>
          <w:bCs/>
          <w:rtl/>
        </w:rPr>
        <w:t>סיכום</w:t>
      </w:r>
    </w:p>
    <w:p w:rsidR="00D13FB2" w:rsidRDefault="00D13FB2" w:rsidP="00D13FB2">
      <w:pPr>
        <w:bidi/>
        <w:ind w:left="720"/>
        <w:jc w:val="both"/>
        <w:rPr>
          <w:rtl/>
        </w:rPr>
      </w:pPr>
      <w:r>
        <w:rPr>
          <w:rFonts w:hint="cs"/>
          <w:rtl/>
        </w:rPr>
        <w:t xml:space="preserve">המסקנה מכאן </w:t>
      </w:r>
      <w:proofErr w:type="spellStart"/>
      <w:r>
        <w:rPr>
          <w:rFonts w:hint="cs"/>
          <w:rtl/>
        </w:rPr>
        <w:t>לעניננו</w:t>
      </w:r>
      <w:proofErr w:type="spellEnd"/>
      <w:r>
        <w:rPr>
          <w:rFonts w:hint="cs"/>
          <w:rtl/>
        </w:rPr>
        <w:t xml:space="preserve"> היא שלאחר תיקון התקנות והוספת המונח "רכב </w:t>
      </w:r>
      <w:r>
        <w:rPr>
          <w:rFonts w:hint="cs"/>
          <w:rtl/>
        </w:rPr>
        <w:lastRenderedPageBreak/>
        <w:t xml:space="preserve">תפעולי" ניתן לכלול בהגדרה זו  כל רכב פרטי המשמש בעיקרו לטובת המעביד או  בעיקרו לשימושו של העצמאי למהלך עסקו (בהנחה שבסוף היום החנייה בבית היא הכרחית או שהרכב חונה במקום  אחר). </w:t>
      </w:r>
    </w:p>
    <w:p w:rsidR="00D13FB2" w:rsidRDefault="00D13FB2" w:rsidP="00D13FB2">
      <w:pPr>
        <w:bidi/>
        <w:ind w:left="720"/>
        <w:jc w:val="both"/>
        <w:rPr>
          <w:rtl/>
        </w:rPr>
      </w:pPr>
      <w:r>
        <w:rPr>
          <w:rFonts w:hint="cs"/>
          <w:rtl/>
        </w:rPr>
        <w:t>יתכן ותתעוררנה מחלוקות עם פקידי השומה ביחס לפרוש המלה "בעיקרו" לצרכי המעביד או לצרכי העסק,  אך בוודאי שאם המדובר ברכב צמוד לעובד המשמש לטובת המעביד גם מחוץ לשעות העבודה, או רכב המשמש לעצמאי באופן מובהק רק לעסקו, ניתן  יהיה  להתעלם  מנוסח התקנות, ולא לייחס לעובד כל  הטבה, וכך גם לגבי העצמאי שיוכל לדרוש את מלוא הוצאות הרכב כחלק הכרחי ביצור ההכנסה.</w:t>
      </w:r>
    </w:p>
    <w:p w:rsidR="00D13FB2" w:rsidRDefault="00D13FB2" w:rsidP="00D13FB2">
      <w:pPr>
        <w:bidi/>
        <w:ind w:left="1080"/>
        <w:jc w:val="both"/>
        <w:rPr>
          <w:rtl/>
        </w:rPr>
      </w:pPr>
    </w:p>
    <w:p w:rsidR="00D13FB2" w:rsidRDefault="00D13FB2" w:rsidP="00555597">
      <w:pPr>
        <w:pStyle w:val="a7"/>
        <w:tabs>
          <w:tab w:val="left" w:pos="4081"/>
          <w:tab w:val="center" w:pos="4153"/>
        </w:tabs>
        <w:jc w:val="left"/>
        <w:rPr>
          <w:b w:val="0"/>
          <w:bCs w:val="0"/>
          <w:color w:val="000000" w:themeColor="text1"/>
          <w:sz w:val="24"/>
          <w:szCs w:val="24"/>
          <w:u w:val="none"/>
          <w:rtl/>
          <w:lang w:val="en-US"/>
        </w:rPr>
        <w:sectPr w:rsidR="00D13FB2" w:rsidSect="00D13FB2">
          <w:type w:val="continuous"/>
          <w:pgSz w:w="11906" w:h="16838"/>
          <w:pgMar w:top="1079" w:right="1800" w:bottom="1258" w:left="1800" w:header="708" w:footer="708" w:gutter="0"/>
          <w:cols w:num="2" w:space="709"/>
          <w:titlePg/>
          <w:bidi/>
          <w:docGrid w:linePitch="360"/>
        </w:sectPr>
      </w:pPr>
    </w:p>
    <w:p w:rsidR="003B2E24" w:rsidRDefault="003B2E24" w:rsidP="00555597">
      <w:pPr>
        <w:pStyle w:val="a7"/>
        <w:tabs>
          <w:tab w:val="left" w:pos="4081"/>
          <w:tab w:val="center" w:pos="4153"/>
        </w:tabs>
        <w:jc w:val="left"/>
        <w:rPr>
          <w:b w:val="0"/>
          <w:bCs w:val="0"/>
          <w:color w:val="000000" w:themeColor="text1"/>
          <w:sz w:val="24"/>
          <w:szCs w:val="24"/>
          <w:u w:val="none"/>
          <w:lang w:val="en-US"/>
        </w:rPr>
      </w:pPr>
    </w:p>
    <w:p w:rsidR="003B2E24" w:rsidRDefault="003B2E24" w:rsidP="00555597">
      <w:pPr>
        <w:pStyle w:val="a7"/>
        <w:tabs>
          <w:tab w:val="left" w:pos="4081"/>
          <w:tab w:val="center" w:pos="4153"/>
        </w:tabs>
        <w:jc w:val="left"/>
        <w:rPr>
          <w:b w:val="0"/>
          <w:bCs w:val="0"/>
          <w:color w:val="000000" w:themeColor="text1"/>
          <w:sz w:val="24"/>
          <w:szCs w:val="24"/>
          <w:u w:val="none"/>
          <w:lang w:val="en-US"/>
        </w:rPr>
      </w:pPr>
    </w:p>
    <w:p w:rsidR="003B2E24" w:rsidRDefault="003B2E24" w:rsidP="00555597">
      <w:pPr>
        <w:pStyle w:val="a7"/>
        <w:tabs>
          <w:tab w:val="left" w:pos="4081"/>
          <w:tab w:val="center" w:pos="4153"/>
        </w:tabs>
        <w:jc w:val="left"/>
        <w:rPr>
          <w:b w:val="0"/>
          <w:bCs w:val="0"/>
          <w:color w:val="000000" w:themeColor="text1"/>
          <w:sz w:val="24"/>
          <w:szCs w:val="24"/>
          <w:u w:val="none"/>
          <w:lang w:val="en-US"/>
        </w:rPr>
      </w:pPr>
    </w:p>
    <w:p w:rsidR="003B2E24" w:rsidRDefault="003B2E24" w:rsidP="00555597">
      <w:pPr>
        <w:pStyle w:val="a7"/>
        <w:tabs>
          <w:tab w:val="left" w:pos="4081"/>
          <w:tab w:val="center" w:pos="4153"/>
        </w:tabs>
        <w:jc w:val="left"/>
        <w:rPr>
          <w:b w:val="0"/>
          <w:bCs w:val="0"/>
          <w:color w:val="000000" w:themeColor="text1"/>
          <w:sz w:val="24"/>
          <w:szCs w:val="24"/>
          <w:u w:val="none"/>
          <w:lang w:val="en-US"/>
        </w:rPr>
      </w:pPr>
    </w:p>
    <w:p w:rsidR="00555597" w:rsidRPr="002D5621" w:rsidRDefault="00555597" w:rsidP="00555597">
      <w:pPr>
        <w:pStyle w:val="a7"/>
        <w:tabs>
          <w:tab w:val="left" w:pos="4081"/>
          <w:tab w:val="center" w:pos="4153"/>
        </w:tabs>
        <w:jc w:val="left"/>
        <w:rPr>
          <w:b w:val="0"/>
          <w:bCs w:val="0"/>
          <w:color w:val="000000" w:themeColor="text1"/>
          <w:sz w:val="24"/>
          <w:szCs w:val="24"/>
          <w:u w:val="none"/>
        </w:rPr>
      </w:pPr>
      <w:r w:rsidRPr="002D5621">
        <w:rPr>
          <w:b w:val="0"/>
          <w:bCs w:val="0"/>
          <w:noProof/>
          <w:color w:val="000000" w:themeColor="text1"/>
          <w:sz w:val="24"/>
          <w:szCs w:val="24"/>
          <w:u w:val="none"/>
          <w:lang w:val="en-US" w:eastAsia="en-US"/>
        </w:rPr>
        <mc:AlternateContent>
          <mc:Choice Requires="wps">
            <w:drawing>
              <wp:anchor distT="0" distB="0" distL="114300" distR="114300" simplePos="0" relativeHeight="251666432" behindDoc="0" locked="0" layoutInCell="1" allowOverlap="1" wp14:anchorId="4639F132" wp14:editId="37E6D9D7">
                <wp:simplePos x="0" y="0"/>
                <wp:positionH relativeFrom="column">
                  <wp:posOffset>-228600</wp:posOffset>
                </wp:positionH>
                <wp:positionV relativeFrom="paragraph">
                  <wp:posOffset>195580</wp:posOffset>
                </wp:positionV>
                <wp:extent cx="5600700" cy="0"/>
                <wp:effectExtent l="9525" t="10795" r="9525" b="8255"/>
                <wp:wrapNone/>
                <wp:docPr id="14" name="מחבר ישר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14E01" id="מחבר ישר 1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4pt" to="42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"/>
            </w:pict>
          </mc:Fallback>
        </mc:AlternateContent>
      </w:r>
    </w:p>
    <w:p w:rsidR="00555597" w:rsidRPr="002D5621" w:rsidRDefault="00555597" w:rsidP="00555597">
      <w:pPr>
        <w:pStyle w:val="aa"/>
        <w:bidi/>
        <w:jc w:val="both"/>
        <w:rPr>
          <w:color w:val="000000" w:themeColor="text1"/>
          <w:sz w:val="22"/>
          <w:szCs w:val="22"/>
          <w:rtl/>
          <w14:shadow w14:blurRad="50800" w14:dist="38100" w14:dir="2700000" w14:sx="100000" w14:sy="100000" w14:kx="0" w14:ky="0" w14:algn="tl">
            <w14:srgbClr w14:val="000000">
              <w14:alpha w14:val="60000"/>
            </w14:srgbClr>
          </w14:shadow>
        </w:rPr>
      </w:pPr>
      <w:r w:rsidRPr="002D5621">
        <w:rPr>
          <w:rFonts w:hint="cs"/>
          <w:color w:val="000000" w:themeColor="text1"/>
          <w:sz w:val="22"/>
          <w:szCs w:val="22"/>
          <w:rtl/>
          <w14:shadow w14:blurRad="50800" w14:dist="38100" w14:dir="2700000" w14:sx="100000" w14:sy="100000" w14:kx="0" w14:ky="0" w14:algn="tl">
            <w14:srgbClr w14:val="000000">
              <w14:alpha w14:val="60000"/>
            </w14:srgbClr>
          </w14:shadow>
        </w:rPr>
        <w:t>רשימה זו נועדה לשם מסירת מידע, המובא באופן תמציתי וכללי, ומשכך אין לראות באמור ברשימה זו כבמתן ייעוץ ו/או חוות דעת מקצועית.</w:t>
      </w:r>
    </w:p>
    <w:p w:rsidR="00555597" w:rsidRPr="002D5621" w:rsidRDefault="00555597" w:rsidP="00555597">
      <w:pPr>
        <w:pStyle w:val="3"/>
        <w:spacing w:line="240" w:lineRule="auto"/>
        <w:rPr>
          <w:color w:val="000000" w:themeColor="text1"/>
          <w:sz w:val="22"/>
          <w:szCs w:val="22"/>
          <w14:shadow w14:blurRad="50800" w14:dist="38100" w14:dir="2700000" w14:sx="100000" w14:sy="100000" w14:kx="0" w14:ky="0" w14:algn="tl">
            <w14:srgbClr w14:val="000000">
              <w14:alpha w14:val="60000"/>
            </w14:srgbClr>
          </w14:shadow>
        </w:rPr>
      </w:pPr>
      <w:r w:rsidRPr="002D5621">
        <w:rPr>
          <w:rFonts w:hint="cs"/>
          <w:color w:val="000000" w:themeColor="text1"/>
          <w:sz w:val="22"/>
          <w:szCs w:val="22"/>
          <w:rtl/>
          <w14:shadow w14:blurRad="50800" w14:dist="38100" w14:dir="2700000" w14:sx="100000" w14:sy="100000" w14:kx="0" w14:ky="0" w14:algn="tl">
            <w14:srgbClr w14:val="000000">
              <w14:alpha w14:val="60000"/>
            </w14:srgbClr>
          </w14:shadow>
        </w:rPr>
        <w:t>במידה והנך מבקש להיגרע מרשימת הדיוור שלנו, או במידה והנך מעוניין לקבל המבזק באמצעות הדוא"ל, נא ציין שמך ומס' הפקס/דוא"ל ושגר אלינו בחוזר.</w:t>
      </w:r>
    </w:p>
    <w:p w:rsidR="00555597" w:rsidRPr="002D5621" w:rsidRDefault="00555597" w:rsidP="00555597">
      <w:pPr>
        <w:pStyle w:val="3"/>
        <w:spacing w:line="240" w:lineRule="auto"/>
        <w:rPr>
          <w:color w:val="000000" w:themeColor="text1"/>
          <w:sz w:val="22"/>
          <w:szCs w:val="22"/>
          <w:rtl/>
          <w14:shadow w14:blurRad="50800" w14:dist="38100" w14:dir="2700000" w14:sx="100000" w14:sy="100000" w14:kx="0" w14:ky="0" w14:algn="tl">
            <w14:srgbClr w14:val="000000">
              <w14:alpha w14:val="60000"/>
            </w14:srgbClr>
          </w14:shadow>
        </w:rPr>
      </w:pPr>
    </w:p>
    <w:p w:rsidR="00555597" w:rsidRPr="002D5621" w:rsidRDefault="00555597" w:rsidP="00555597">
      <w:pPr>
        <w:pStyle w:val="3"/>
        <w:spacing w:line="240" w:lineRule="auto"/>
        <w:rPr>
          <w:color w:val="000000" w:themeColor="text1"/>
          <w:sz w:val="22"/>
          <w:szCs w:val="22"/>
          <w:rtl/>
          <w14:shadow w14:blurRad="50800" w14:dist="38100" w14:dir="2700000" w14:sx="100000" w14:sy="100000" w14:kx="0" w14:ky="0" w14:algn="tl">
            <w14:srgbClr w14:val="000000">
              <w14:alpha w14:val="60000"/>
            </w14:srgbClr>
          </w14:shadow>
        </w:rPr>
      </w:pPr>
    </w:p>
    <w:p w:rsidR="00555597" w:rsidRPr="002D5621" w:rsidRDefault="00555597" w:rsidP="00555597">
      <w:pPr>
        <w:pStyle w:val="3"/>
        <w:spacing w:line="240" w:lineRule="auto"/>
        <w:rPr>
          <w:color w:val="000000" w:themeColor="text1"/>
          <w:sz w:val="22"/>
          <w:szCs w:val="22"/>
          <w14:shadow w14:blurRad="50800" w14:dist="38100" w14:dir="2700000" w14:sx="100000" w14:sy="100000" w14:kx="0" w14:ky="0" w14:algn="tl">
            <w14:srgbClr w14:val="000000">
              <w14:alpha w14:val="60000"/>
            </w14:srgbClr>
          </w14:shadow>
        </w:rPr>
      </w:pPr>
    </w:p>
    <w:p w:rsidR="00555597" w:rsidRPr="002D5621" w:rsidRDefault="00555597" w:rsidP="00555597">
      <w:pPr>
        <w:pStyle w:val="3"/>
        <w:spacing w:line="240" w:lineRule="auto"/>
        <w:rPr>
          <w:color w:val="000000" w:themeColor="text1"/>
          <w:sz w:val="22"/>
          <w:szCs w:val="22"/>
          <w14:shadow w14:blurRad="50800" w14:dist="38100" w14:dir="2700000" w14:sx="100000" w14:sy="100000" w14:kx="0" w14:ky="0" w14:algn="tl">
            <w14:srgbClr w14:val="000000">
              <w14:alpha w14:val="60000"/>
            </w14:srgbClr>
          </w14:shadow>
        </w:rPr>
      </w:pPr>
    </w:p>
    <w:p w:rsidR="00555597" w:rsidRPr="002D5621" w:rsidRDefault="00555597" w:rsidP="00555597">
      <w:pPr>
        <w:pStyle w:val="3"/>
        <w:spacing w:line="240" w:lineRule="auto"/>
        <w:rPr>
          <w:color w:val="000000" w:themeColor="text1"/>
          <w:sz w:val="22"/>
          <w:szCs w:val="22"/>
          <w:rtl/>
          <w14:shadow w14:blurRad="50800" w14:dist="38100" w14:dir="2700000" w14:sx="100000" w14:sy="100000" w14:kx="0" w14:ky="0" w14:algn="tl">
            <w14:srgbClr w14:val="000000">
              <w14:alpha w14:val="60000"/>
            </w14:srgbClr>
          </w14:shadow>
        </w:rPr>
      </w:pPr>
    </w:p>
    <w:p w:rsidR="00555597" w:rsidRPr="002D5621" w:rsidRDefault="00555597" w:rsidP="00555597">
      <w:pPr>
        <w:pStyle w:val="3"/>
        <w:spacing w:line="240" w:lineRule="auto"/>
        <w:rPr>
          <w:color w:val="000000" w:themeColor="text1"/>
          <w:sz w:val="22"/>
          <w:szCs w:val="22"/>
          <w:rtl/>
          <w14:shadow w14:blurRad="50800" w14:dist="38100" w14:dir="2700000" w14:sx="100000" w14:sy="100000" w14:kx="0" w14:ky="0" w14:algn="tl">
            <w14:srgbClr w14:val="000000">
              <w14:alpha w14:val="60000"/>
            </w14:srgbClr>
          </w14:shadow>
        </w:rPr>
      </w:pPr>
    </w:p>
    <w:p w:rsidR="00555597" w:rsidRPr="002D5621" w:rsidRDefault="00555597" w:rsidP="00555597">
      <w:pPr>
        <w:pStyle w:val="3"/>
        <w:spacing w:line="240" w:lineRule="auto"/>
        <w:rPr>
          <w:color w:val="000000" w:themeColor="text1"/>
          <w:sz w:val="22"/>
          <w:szCs w:val="22"/>
          <w:rtl/>
          <w14:shadow w14:blurRad="50800" w14:dist="38100" w14:dir="2700000" w14:sx="100000" w14:sy="100000" w14:kx="0" w14:ky="0" w14:algn="tl">
            <w14:srgbClr w14:val="000000">
              <w14:alpha w14:val="60000"/>
            </w14:srgbClr>
          </w14:shadow>
        </w:rPr>
      </w:pPr>
    </w:p>
    <w:p w:rsidR="00555597" w:rsidRPr="002D5621" w:rsidRDefault="00555597" w:rsidP="00555597">
      <w:pPr>
        <w:pStyle w:val="3"/>
        <w:spacing w:line="240" w:lineRule="auto"/>
        <w:rPr>
          <w:color w:val="000000" w:themeColor="text1"/>
          <w:sz w:val="22"/>
          <w:szCs w:val="22"/>
          <w:rtl/>
          <w14:shadow w14:blurRad="50800" w14:dist="38100" w14:dir="2700000" w14:sx="100000" w14:sy="100000" w14:kx="0" w14:ky="0" w14:algn="tl">
            <w14:srgbClr w14:val="000000">
              <w14:alpha w14:val="60000"/>
            </w14:srgbClr>
          </w14:shadow>
        </w:rPr>
      </w:pPr>
    </w:p>
    <w:p w:rsidR="00555597" w:rsidRPr="002D5621" w:rsidRDefault="00555597" w:rsidP="00555597">
      <w:pPr>
        <w:pStyle w:val="3"/>
        <w:spacing w:line="240" w:lineRule="auto"/>
        <w:rPr>
          <w:color w:val="000000" w:themeColor="text1"/>
          <w:sz w:val="22"/>
          <w:szCs w:val="22"/>
          <w:rtl/>
          <w14:shadow w14:blurRad="50800" w14:dist="38100" w14:dir="2700000" w14:sx="100000" w14:sy="100000" w14:kx="0" w14:ky="0" w14:algn="tl">
            <w14:srgbClr w14:val="000000">
              <w14:alpha w14:val="60000"/>
            </w14:srgbClr>
          </w14:shadow>
        </w:rPr>
      </w:pPr>
    </w:p>
    <w:sectPr w:rsidR="00555597" w:rsidRPr="002D5621">
      <w:type w:val="continuous"/>
      <w:pgSz w:w="11906" w:h="16838"/>
      <w:pgMar w:top="1079" w:right="1800" w:bottom="125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D92" w:rsidRDefault="00944D92" w:rsidP="00555597">
      <w:r>
        <w:separator/>
      </w:r>
    </w:p>
  </w:endnote>
  <w:endnote w:type="continuationSeparator" w:id="0">
    <w:p w:rsidR="00944D92" w:rsidRDefault="00944D92" w:rsidP="0055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1"/>
    <w:family w:val="swiss"/>
    <w:notTrueType/>
    <w:pitch w:val="variable"/>
    <w:sig w:usb0="00000801" w:usb1="00000000" w:usb2="00000000" w:usb3="00000000" w:csb0="00000020" w:csb1="00000000"/>
  </w:font>
  <w:font w:name="Tunga">
    <w:panose1 w:val="020B0502040204020203"/>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EA" w:rsidRDefault="00555597">
    <w:pPr>
      <w:pStyle w:val="a5"/>
      <w:bidi/>
    </w:pPr>
    <w:r>
      <w:rPr>
        <w:noProof/>
        <w:sz w:val="20"/>
      </w:rPr>
      <mc:AlternateContent>
        <mc:Choice Requires="wps">
          <w:drawing>
            <wp:anchor distT="0" distB="0" distL="114300" distR="114300" simplePos="0" relativeHeight="251661312" behindDoc="0" locked="0" layoutInCell="1" allowOverlap="1" wp14:anchorId="5AF04180" wp14:editId="4E0DB081">
              <wp:simplePos x="0" y="0"/>
              <wp:positionH relativeFrom="column">
                <wp:posOffset>-356870</wp:posOffset>
              </wp:positionH>
              <wp:positionV relativeFrom="paragraph">
                <wp:posOffset>17145</wp:posOffset>
              </wp:positionV>
              <wp:extent cx="6261735" cy="457200"/>
              <wp:effectExtent l="0" t="0" r="635" b="1270"/>
              <wp:wrapNone/>
              <wp:docPr id="26" name="תיבת טקסט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69EA" w:rsidRDefault="00360EF8">
                          <w:pPr>
                            <w:pStyle w:val="3"/>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04180" id="_x0000_t202" coordsize="21600,21600" o:spt="202" path="m,l,21600r21600,l21600,xe">
              <v:stroke joinstyle="miter"/>
              <v:path gradientshapeok="t" o:connecttype="rect"/>
            </v:shapetype>
            <v:shape id="תיבת טקסט 26" o:spid="_x0000_s1030" type="#_x0000_t202" style="position:absolute;left:0;text-align:left;margin-left:-28.1pt;margin-top:1.35pt;width:493.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" stroked="f">
              <v:textbox>
                <w:txbxContent>
                  <w:p w:rsidR="003F69EA" w:rsidRDefault="00360EF8">
                    <w:pPr>
                      <w:pStyle w:val="3"/>
                      <w:jc w:val="center"/>
                      <w:rPr>
                        <w:rtl/>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EA" w:rsidRDefault="00555597">
    <w:pPr>
      <w:pStyle w:val="a5"/>
    </w:pPr>
    <w:r>
      <w:rPr>
        <w:noProof/>
        <w:sz w:val="20"/>
      </w:rPr>
      <mc:AlternateContent>
        <mc:Choice Requires="wps">
          <w:drawing>
            <wp:anchor distT="0" distB="0" distL="114300" distR="114300" simplePos="0" relativeHeight="251662336" behindDoc="0" locked="0" layoutInCell="1" allowOverlap="1" wp14:anchorId="7E391901" wp14:editId="6F813AE3">
              <wp:simplePos x="0" y="0"/>
              <wp:positionH relativeFrom="column">
                <wp:posOffset>-228600</wp:posOffset>
              </wp:positionH>
              <wp:positionV relativeFrom="paragraph">
                <wp:posOffset>27940</wp:posOffset>
              </wp:positionV>
              <wp:extent cx="6263005" cy="457200"/>
              <wp:effectExtent l="0" t="0" r="4445" b="0"/>
              <wp:wrapNone/>
              <wp:docPr id="25" name="תיבת טקסט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69EA" w:rsidRDefault="00360EF8">
                          <w:pPr>
                            <w:pStyle w:val="3"/>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91901" id="_x0000_t202" coordsize="21600,21600" o:spt="202" path="m,l,21600r21600,l21600,xe">
              <v:stroke joinstyle="miter"/>
              <v:path gradientshapeok="t" o:connecttype="rect"/>
            </v:shapetype>
            <v:shape id="תיבת טקסט 25" o:spid="_x0000_s1031" type="#_x0000_t202" style="position:absolute;margin-left:-18pt;margin-top:2.2pt;width:493.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" stroked="f">
              <v:textbox>
                <w:txbxContent>
                  <w:p w:rsidR="003F69EA" w:rsidRDefault="00360EF8">
                    <w:pPr>
                      <w:pStyle w:val="3"/>
                      <w:jc w:val="center"/>
                      <w:rPr>
                        <w:rtl/>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EA" w:rsidRDefault="00555597">
    <w:pPr>
      <w:pStyle w:val="a5"/>
      <w:bidi/>
    </w:pPr>
    <w:r>
      <w:rPr>
        <w:noProof/>
        <w:sz w:val="20"/>
      </w:rPr>
      <mc:AlternateContent>
        <mc:Choice Requires="wps">
          <w:drawing>
            <wp:anchor distT="0" distB="0" distL="114300" distR="114300" simplePos="0" relativeHeight="251659264" behindDoc="0" locked="0" layoutInCell="1" allowOverlap="1" wp14:anchorId="4BBD1CA9" wp14:editId="31016586">
              <wp:simplePos x="0" y="0"/>
              <wp:positionH relativeFrom="column">
                <wp:posOffset>-356870</wp:posOffset>
              </wp:positionH>
              <wp:positionV relativeFrom="paragraph">
                <wp:posOffset>17145</wp:posOffset>
              </wp:positionV>
              <wp:extent cx="6261735" cy="457200"/>
              <wp:effectExtent l="0" t="0" r="635" b="1270"/>
              <wp:wrapNone/>
              <wp:docPr id="24" name="תיבת טקסט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69EA" w:rsidRDefault="00360EF8">
                          <w:pPr>
                            <w:pStyle w:val="3"/>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D1CA9" id="_x0000_t202" coordsize="21600,21600" o:spt="202" path="m,l,21600r21600,l21600,xe">
              <v:stroke joinstyle="miter"/>
              <v:path gradientshapeok="t" o:connecttype="rect"/>
            </v:shapetype>
            <v:shape id="תיבת טקסט 24" o:spid="_x0000_s1032" type="#_x0000_t202" style="position:absolute;left:0;text-align:left;margin-left:-28.1pt;margin-top:1.35pt;width:493.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" stroked="f">
              <v:textbox>
                <w:txbxContent>
                  <w:p w:rsidR="003F69EA" w:rsidRDefault="00360EF8">
                    <w:pPr>
                      <w:pStyle w:val="3"/>
                      <w:jc w:val="center"/>
                      <w:rPr>
                        <w:rtl/>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EA" w:rsidRDefault="00555597">
    <w:pPr>
      <w:pStyle w:val="a5"/>
    </w:pPr>
    <w:r>
      <w:rPr>
        <w:noProof/>
        <w:sz w:val="20"/>
      </w:rPr>
      <mc:AlternateContent>
        <mc:Choice Requires="wps">
          <w:drawing>
            <wp:anchor distT="0" distB="0" distL="114300" distR="114300" simplePos="0" relativeHeight="251660288" behindDoc="0" locked="0" layoutInCell="1" allowOverlap="1" wp14:anchorId="1DA08F43" wp14:editId="33A4BF0E">
              <wp:simplePos x="0" y="0"/>
              <wp:positionH relativeFrom="column">
                <wp:posOffset>-228600</wp:posOffset>
              </wp:positionH>
              <wp:positionV relativeFrom="paragraph">
                <wp:posOffset>27940</wp:posOffset>
              </wp:positionV>
              <wp:extent cx="6263005" cy="457200"/>
              <wp:effectExtent l="0" t="0" r="4445" b="635"/>
              <wp:wrapNone/>
              <wp:docPr id="23" name="תיבת טקסט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69EA" w:rsidRDefault="00400250">
                          <w:pPr>
                            <w:pStyle w:val="2"/>
                            <w:rPr>
                              <w:szCs w:val="24"/>
                              <w:rtl/>
                            </w:rPr>
                          </w:pPr>
                          <w:r>
                            <w:rPr>
                              <w:rFonts w:hint="cs"/>
                              <w:szCs w:val="24"/>
                              <w:rtl/>
                            </w:rPr>
                            <w:t xml:space="preserve">דורון, </w:t>
                          </w:r>
                          <w:proofErr w:type="spellStart"/>
                          <w:r>
                            <w:rPr>
                              <w:rFonts w:hint="cs"/>
                              <w:szCs w:val="24"/>
                              <w:rtl/>
                            </w:rPr>
                            <w:t>טיקוצקי</w:t>
                          </w:r>
                          <w:proofErr w:type="spellEnd"/>
                          <w:r>
                            <w:rPr>
                              <w:rFonts w:hint="cs"/>
                              <w:szCs w:val="24"/>
                              <w:rtl/>
                            </w:rPr>
                            <w:t xml:space="preserve">, </w:t>
                          </w:r>
                          <w:proofErr w:type="spellStart"/>
                          <w:r>
                            <w:rPr>
                              <w:rFonts w:hint="cs"/>
                              <w:szCs w:val="24"/>
                              <w:rtl/>
                            </w:rPr>
                            <w:t>צדרבוים</w:t>
                          </w:r>
                          <w:proofErr w:type="spellEnd"/>
                          <w:r>
                            <w:rPr>
                              <w:rFonts w:hint="cs"/>
                              <w:szCs w:val="24"/>
                              <w:rtl/>
                            </w:rPr>
                            <w:t>, עמיר, מזרחי עורכי דין ונוטריון</w:t>
                          </w:r>
                        </w:p>
                        <w:p w:rsidR="003F69EA" w:rsidRDefault="00400250">
                          <w:pPr>
                            <w:pStyle w:val="3"/>
                            <w:jc w:val="center"/>
                            <w:rPr>
                              <w:b/>
                              <w:bCs/>
                              <w:i/>
                              <w:iCs/>
                              <w:sz w:val="22"/>
                              <w:szCs w:val="22"/>
                              <w:rtl/>
                            </w:rPr>
                          </w:pPr>
                          <w:r>
                            <w:rPr>
                              <w:rFonts w:hint="cs"/>
                              <w:b/>
                              <w:bCs/>
                              <w:i/>
                              <w:iCs/>
                              <w:sz w:val="22"/>
                              <w:szCs w:val="22"/>
                              <w:rtl/>
                            </w:rPr>
                            <w:t>חיפה: טל.04-8147500 פקס: 04-8555976 ר"ג: טל 03-6109100 ק. מוצקין: 04-8705345</w:t>
                          </w:r>
                          <w:r>
                            <w:rPr>
                              <w:sz w:val="22"/>
                              <w:szCs w:val="22"/>
                            </w:rPr>
                            <w:t xml:space="preserve"> </w:t>
                          </w:r>
                          <w:r>
                            <w:rPr>
                              <w:rFonts w:hint="cs"/>
                              <w:b/>
                              <w:bCs/>
                              <w:i/>
                              <w:iCs/>
                              <w:sz w:val="22"/>
                              <w:szCs w:val="22"/>
                              <w:rtl/>
                            </w:rPr>
                            <w:t>טבריה: טל. 04-6717201</w:t>
                          </w:r>
                        </w:p>
                        <w:p w:rsidR="003F69EA" w:rsidRDefault="00360EF8">
                          <w:pPr>
                            <w:pStyle w:val="3"/>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08F43" id="_x0000_t202" coordsize="21600,21600" o:spt="202" path="m,l,21600r21600,l21600,xe">
              <v:stroke joinstyle="miter"/>
              <v:path gradientshapeok="t" o:connecttype="rect"/>
            </v:shapetype>
            <v:shape id="תיבת טקסט 23" o:spid="_x0000_s1033" type="#_x0000_t202" style="position:absolute;margin-left:-18pt;margin-top:2.2pt;width:493.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" stroked="f">
              <v:textbox>
                <w:txbxContent>
                  <w:p w:rsidR="003F69EA" w:rsidRDefault="00400250">
                    <w:pPr>
                      <w:pStyle w:val="2"/>
                      <w:rPr>
                        <w:szCs w:val="24"/>
                        <w:rtl/>
                      </w:rPr>
                    </w:pPr>
                    <w:r>
                      <w:rPr>
                        <w:rFonts w:hint="cs"/>
                        <w:szCs w:val="24"/>
                        <w:rtl/>
                      </w:rPr>
                      <w:t xml:space="preserve">דורון, </w:t>
                    </w:r>
                    <w:proofErr w:type="spellStart"/>
                    <w:r>
                      <w:rPr>
                        <w:rFonts w:hint="cs"/>
                        <w:szCs w:val="24"/>
                        <w:rtl/>
                      </w:rPr>
                      <w:t>טיקוצקי</w:t>
                    </w:r>
                    <w:proofErr w:type="spellEnd"/>
                    <w:r>
                      <w:rPr>
                        <w:rFonts w:hint="cs"/>
                        <w:szCs w:val="24"/>
                        <w:rtl/>
                      </w:rPr>
                      <w:t xml:space="preserve">, </w:t>
                    </w:r>
                    <w:proofErr w:type="spellStart"/>
                    <w:r>
                      <w:rPr>
                        <w:rFonts w:hint="cs"/>
                        <w:szCs w:val="24"/>
                        <w:rtl/>
                      </w:rPr>
                      <w:t>צדרבוים</w:t>
                    </w:r>
                    <w:proofErr w:type="spellEnd"/>
                    <w:r>
                      <w:rPr>
                        <w:rFonts w:hint="cs"/>
                        <w:szCs w:val="24"/>
                        <w:rtl/>
                      </w:rPr>
                      <w:t>, עמיר, מזרחי עורכי דין ונוטריון</w:t>
                    </w:r>
                  </w:p>
                  <w:p w:rsidR="003F69EA" w:rsidRDefault="00400250">
                    <w:pPr>
                      <w:pStyle w:val="3"/>
                      <w:jc w:val="center"/>
                      <w:rPr>
                        <w:b/>
                        <w:bCs/>
                        <w:i/>
                        <w:iCs/>
                        <w:sz w:val="22"/>
                        <w:szCs w:val="22"/>
                        <w:rtl/>
                      </w:rPr>
                    </w:pPr>
                    <w:r>
                      <w:rPr>
                        <w:rFonts w:hint="cs"/>
                        <w:b/>
                        <w:bCs/>
                        <w:i/>
                        <w:iCs/>
                        <w:sz w:val="22"/>
                        <w:szCs w:val="22"/>
                        <w:rtl/>
                      </w:rPr>
                      <w:t>חיפה: טל.04-8147500 פקס: 04-8555976 ר"ג: טל 03-6109100 ק. מוצקין: 04-8705345</w:t>
                    </w:r>
                    <w:r>
                      <w:rPr>
                        <w:sz w:val="22"/>
                        <w:szCs w:val="22"/>
                      </w:rPr>
                      <w:t xml:space="preserve"> </w:t>
                    </w:r>
                    <w:r>
                      <w:rPr>
                        <w:rFonts w:hint="cs"/>
                        <w:b/>
                        <w:bCs/>
                        <w:i/>
                        <w:iCs/>
                        <w:sz w:val="22"/>
                        <w:szCs w:val="22"/>
                        <w:rtl/>
                      </w:rPr>
                      <w:t>טבריה: טל. 04-6717201</w:t>
                    </w:r>
                  </w:p>
                  <w:p w:rsidR="003F69EA" w:rsidRDefault="00360EF8">
                    <w:pPr>
                      <w:pStyle w:val="3"/>
                      <w:jc w:val="center"/>
                      <w:rPr>
                        <w:rtl/>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D92" w:rsidRDefault="00944D92" w:rsidP="00555597">
      <w:r>
        <w:separator/>
      </w:r>
    </w:p>
  </w:footnote>
  <w:footnote w:type="continuationSeparator" w:id="0">
    <w:p w:rsidR="00944D92" w:rsidRDefault="00944D92" w:rsidP="00555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EA" w:rsidRDefault="00400250">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F69EA" w:rsidRDefault="00360EF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EA" w:rsidRDefault="00400250">
    <w:pPr>
      <w:pStyle w:val="a3"/>
      <w:framePr w:wrap="around" w:vAnchor="text" w:hAnchor="page" w:x="5761" w:y="13"/>
      <w:jc w:val="center"/>
      <w:rPr>
        <w:rStyle w:val="a9"/>
      </w:rPr>
    </w:pPr>
    <w:r>
      <w:rPr>
        <w:rStyle w:val="a9"/>
      </w:rPr>
      <w:fldChar w:fldCharType="begin"/>
    </w:r>
    <w:r>
      <w:rPr>
        <w:rStyle w:val="a9"/>
      </w:rPr>
      <w:instrText xml:space="preserve">PAGE  </w:instrText>
    </w:r>
    <w:r>
      <w:rPr>
        <w:rStyle w:val="a9"/>
      </w:rPr>
      <w:fldChar w:fldCharType="separate"/>
    </w:r>
    <w:r w:rsidR="00360EF8">
      <w:rPr>
        <w:rStyle w:val="a9"/>
        <w:noProof/>
      </w:rPr>
      <w:t>6</w:t>
    </w:r>
    <w:r>
      <w:rPr>
        <w:rStyle w:val="a9"/>
      </w:rPr>
      <w:fldChar w:fldCharType="end"/>
    </w:r>
  </w:p>
  <w:p w:rsidR="003F69EA" w:rsidRDefault="00360EF8">
    <w:pPr>
      <w:pStyle w:val="a3"/>
      <w:bidi/>
      <w:ind w:firstLine="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EA" w:rsidRDefault="00400250">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F69EA" w:rsidRDefault="00360EF8">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9EA" w:rsidRDefault="00400250">
    <w:pPr>
      <w:pStyle w:val="a3"/>
      <w:framePr w:wrap="around" w:vAnchor="text" w:hAnchor="page" w:x="5761" w:y="13"/>
      <w:jc w:val="center"/>
      <w:rPr>
        <w:rStyle w:val="a9"/>
      </w:rPr>
    </w:pPr>
    <w:r>
      <w:rPr>
        <w:rStyle w:val="a9"/>
      </w:rPr>
      <w:fldChar w:fldCharType="begin"/>
    </w:r>
    <w:r>
      <w:rPr>
        <w:rStyle w:val="a9"/>
      </w:rPr>
      <w:instrText xml:space="preserve">PAGE  </w:instrText>
    </w:r>
    <w:r>
      <w:rPr>
        <w:rStyle w:val="a9"/>
      </w:rPr>
      <w:fldChar w:fldCharType="separate"/>
    </w:r>
    <w:r w:rsidR="00360EF8">
      <w:rPr>
        <w:rStyle w:val="a9"/>
        <w:noProof/>
      </w:rPr>
      <w:t>10</w:t>
    </w:r>
    <w:r>
      <w:rPr>
        <w:rStyle w:val="a9"/>
      </w:rPr>
      <w:fldChar w:fldCharType="end"/>
    </w:r>
  </w:p>
  <w:p w:rsidR="003F69EA" w:rsidRDefault="00360EF8">
    <w:pPr>
      <w:pStyle w:val="a3"/>
      <w:bidi/>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67320"/>
    <w:multiLevelType w:val="hybridMultilevel"/>
    <w:tmpl w:val="FBB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175F0"/>
    <w:multiLevelType w:val="hybridMultilevel"/>
    <w:tmpl w:val="97C0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880B9E"/>
    <w:multiLevelType w:val="hybridMultilevel"/>
    <w:tmpl w:val="BB14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B3708"/>
    <w:multiLevelType w:val="hybridMultilevel"/>
    <w:tmpl w:val="EC68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F573C9"/>
    <w:multiLevelType w:val="hybridMultilevel"/>
    <w:tmpl w:val="247E53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2B3164"/>
    <w:multiLevelType w:val="hybridMultilevel"/>
    <w:tmpl w:val="60564E84"/>
    <w:lvl w:ilvl="0" w:tplc="15E67D88">
      <w:start w:val="1"/>
      <w:numFmt w:val="decimal"/>
      <w:lvlText w:val="%1."/>
      <w:lvlJc w:val="left"/>
      <w:pPr>
        <w:tabs>
          <w:tab w:val="num" w:pos="386"/>
        </w:tabs>
        <w:ind w:left="386" w:hanging="36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6">
    <w:nsid w:val="4683409F"/>
    <w:multiLevelType w:val="hybridMultilevel"/>
    <w:tmpl w:val="19845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0FB6341"/>
    <w:multiLevelType w:val="hybridMultilevel"/>
    <w:tmpl w:val="9D92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D059FD"/>
    <w:multiLevelType w:val="hybridMultilevel"/>
    <w:tmpl w:val="9F029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5E0B8F"/>
    <w:multiLevelType w:val="hybridMultilevel"/>
    <w:tmpl w:val="9F029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BA44BD"/>
    <w:multiLevelType w:val="hybridMultilevel"/>
    <w:tmpl w:val="819A8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137022"/>
    <w:multiLevelType w:val="multilevel"/>
    <w:tmpl w:val="CEE4834C"/>
    <w:lvl w:ilvl="0">
      <w:start w:val="1"/>
      <w:numFmt w:val="decimal"/>
      <w:lvlText w:val="%1."/>
      <w:lvlJc w:val="left"/>
      <w:pPr>
        <w:ind w:left="882" w:hanging="360"/>
      </w:pPr>
      <w:rPr>
        <w:b w:val="0"/>
        <w:bCs w:val="0"/>
      </w:rPr>
    </w:lvl>
    <w:lvl w:ilvl="1">
      <w:start w:val="1"/>
      <w:numFmt w:val="decimal"/>
      <w:isLgl/>
      <w:lvlText w:val="%1.%2"/>
      <w:lvlJc w:val="left"/>
      <w:pPr>
        <w:ind w:left="674" w:hanging="390"/>
      </w:pPr>
      <w:rPr>
        <w:rFonts w:hint="default"/>
      </w:rPr>
    </w:lvl>
    <w:lvl w:ilvl="2">
      <w:start w:val="1"/>
      <w:numFmt w:val="decimal"/>
      <w:isLgl/>
      <w:lvlText w:val="%1.%2.%3"/>
      <w:lvlJc w:val="left"/>
      <w:pPr>
        <w:ind w:left="1962"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42" w:hanging="1080"/>
      </w:pPr>
      <w:rPr>
        <w:rFonts w:hint="default"/>
      </w:rPr>
    </w:lvl>
    <w:lvl w:ilvl="5">
      <w:start w:val="1"/>
      <w:numFmt w:val="decimal"/>
      <w:isLgl/>
      <w:lvlText w:val="%1.%2.%3.%4.%5.%6"/>
      <w:lvlJc w:val="left"/>
      <w:pPr>
        <w:ind w:left="3402" w:hanging="1080"/>
      </w:pPr>
      <w:rPr>
        <w:rFonts w:hint="default"/>
      </w:rPr>
    </w:lvl>
    <w:lvl w:ilvl="6">
      <w:start w:val="1"/>
      <w:numFmt w:val="decimal"/>
      <w:isLgl/>
      <w:lvlText w:val="%1.%2.%3.%4.%5.%6.%7"/>
      <w:lvlJc w:val="left"/>
      <w:pPr>
        <w:ind w:left="3762" w:hanging="1080"/>
      </w:pPr>
      <w:rPr>
        <w:rFonts w:hint="default"/>
      </w:rPr>
    </w:lvl>
    <w:lvl w:ilvl="7">
      <w:start w:val="1"/>
      <w:numFmt w:val="decimal"/>
      <w:isLgl/>
      <w:lvlText w:val="%1.%2.%3.%4.%5.%6.%7.%8"/>
      <w:lvlJc w:val="left"/>
      <w:pPr>
        <w:ind w:left="4482" w:hanging="1440"/>
      </w:pPr>
      <w:rPr>
        <w:rFonts w:hint="default"/>
      </w:rPr>
    </w:lvl>
    <w:lvl w:ilvl="8">
      <w:start w:val="1"/>
      <w:numFmt w:val="decimal"/>
      <w:isLgl/>
      <w:lvlText w:val="%1.%2.%3.%4.%5.%6.%7.%8.%9"/>
      <w:lvlJc w:val="left"/>
      <w:pPr>
        <w:ind w:left="4842" w:hanging="1440"/>
      </w:pPr>
      <w:rPr>
        <w:rFonts w:hint="default"/>
      </w:rPr>
    </w:lvl>
  </w:abstractNum>
  <w:abstractNum w:abstractNumId="12">
    <w:nsid w:val="7F6630A2"/>
    <w:multiLevelType w:val="hybridMultilevel"/>
    <w:tmpl w:val="0B3411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5"/>
  </w:num>
  <w:num w:numId="4">
    <w:abstractNumId w:val="4"/>
  </w:num>
  <w:num w:numId="5">
    <w:abstractNumId w:val="1"/>
  </w:num>
  <w:num w:numId="6">
    <w:abstractNumId w:val="3"/>
  </w:num>
  <w:num w:numId="7">
    <w:abstractNumId w:val="11"/>
  </w:num>
  <w:num w:numId="8">
    <w:abstractNumId w:val="0"/>
  </w:num>
  <w:num w:numId="9">
    <w:abstractNumId w:val="10"/>
  </w:num>
  <w:num w:numId="10">
    <w:abstractNumId w:val="9"/>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97"/>
    <w:rsid w:val="000C1BAE"/>
    <w:rsid w:val="001564D3"/>
    <w:rsid w:val="00276211"/>
    <w:rsid w:val="0027696D"/>
    <w:rsid w:val="002D5621"/>
    <w:rsid w:val="00360EF8"/>
    <w:rsid w:val="003B2E24"/>
    <w:rsid w:val="00400250"/>
    <w:rsid w:val="0040594E"/>
    <w:rsid w:val="00442014"/>
    <w:rsid w:val="004A7A80"/>
    <w:rsid w:val="004C7E07"/>
    <w:rsid w:val="004E6D6E"/>
    <w:rsid w:val="00555597"/>
    <w:rsid w:val="007B786D"/>
    <w:rsid w:val="008E519A"/>
    <w:rsid w:val="00917A8B"/>
    <w:rsid w:val="00944D92"/>
    <w:rsid w:val="00963072"/>
    <w:rsid w:val="00973976"/>
    <w:rsid w:val="00993C05"/>
    <w:rsid w:val="009C3CAB"/>
    <w:rsid w:val="009D2EE0"/>
    <w:rsid w:val="00A037D0"/>
    <w:rsid w:val="00AC1126"/>
    <w:rsid w:val="00AF2F02"/>
    <w:rsid w:val="00BC29D3"/>
    <w:rsid w:val="00C4355D"/>
    <w:rsid w:val="00D13FB2"/>
    <w:rsid w:val="00D26AC0"/>
    <w:rsid w:val="00D942D1"/>
    <w:rsid w:val="00E42640"/>
    <w:rsid w:val="00E45319"/>
    <w:rsid w:val="00E75AA4"/>
    <w:rsid w:val="00E76CAA"/>
    <w:rsid w:val="00F267B2"/>
    <w:rsid w:val="00FA791F"/>
    <w:rsid w:val="00FC6E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86EF44C-347A-4D02-8CBE-C6277407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597"/>
    <w:pPr>
      <w:spacing w:after="0" w:line="240" w:lineRule="auto"/>
    </w:pPr>
    <w:rPr>
      <w:rFonts w:ascii="Comic Sans MS" w:eastAsia="Times New Roman" w:hAnsi="Comic Sans MS" w:cs="David"/>
      <w:sz w:val="24"/>
      <w:szCs w:val="24"/>
    </w:rPr>
  </w:style>
  <w:style w:type="paragraph" w:styleId="1">
    <w:name w:val="heading 1"/>
    <w:basedOn w:val="a"/>
    <w:next w:val="a"/>
    <w:link w:val="10"/>
    <w:qFormat/>
    <w:rsid w:val="00555597"/>
    <w:pPr>
      <w:keepNext/>
      <w:bidi/>
      <w:jc w:val="center"/>
      <w:outlineLvl w:val="0"/>
    </w:pPr>
    <w:rPr>
      <w:rFonts w:cs="FrankRuehl"/>
      <w:b/>
      <w:bCs/>
      <w:sz w:val="44"/>
      <w:szCs w:val="44"/>
    </w:rPr>
  </w:style>
  <w:style w:type="paragraph" w:styleId="2">
    <w:name w:val="heading 2"/>
    <w:aliases w:val="כותרת 2 תו תו"/>
    <w:basedOn w:val="a"/>
    <w:next w:val="a"/>
    <w:link w:val="20"/>
    <w:qFormat/>
    <w:rsid w:val="00555597"/>
    <w:pPr>
      <w:keepNext/>
      <w:bidi/>
      <w:jc w:val="center"/>
      <w:outlineLvl w:val="1"/>
    </w:pPr>
    <w:rPr>
      <w:rFonts w:ascii="Times New Roman" w:hAnsi="Times New Roman"/>
      <w:b/>
      <w:bCs/>
      <w:szCs w:val="28"/>
    </w:rPr>
  </w:style>
  <w:style w:type="paragraph" w:styleId="4">
    <w:name w:val="heading 4"/>
    <w:basedOn w:val="a"/>
    <w:next w:val="a"/>
    <w:link w:val="40"/>
    <w:qFormat/>
    <w:rsid w:val="00555597"/>
    <w:pPr>
      <w:keepNext/>
      <w:autoSpaceDE w:val="0"/>
      <w:autoSpaceDN w:val="0"/>
      <w:bidi/>
      <w:adjustRightInd w:val="0"/>
      <w:jc w:val="center"/>
      <w:outlineLvl w:val="3"/>
    </w:pPr>
    <w:rPr>
      <w:rFonts w:ascii="Arial" w:hAnsi="Arial"/>
      <w:b/>
      <w:bCs/>
      <w:color w:val="FF0000"/>
      <w:sz w:val="28"/>
      <w:szCs w:val="28"/>
    </w:rPr>
  </w:style>
  <w:style w:type="paragraph" w:styleId="5">
    <w:name w:val="heading 5"/>
    <w:basedOn w:val="a"/>
    <w:next w:val="a"/>
    <w:link w:val="50"/>
    <w:qFormat/>
    <w:rsid w:val="00555597"/>
    <w:pPr>
      <w:keepNext/>
      <w:autoSpaceDE w:val="0"/>
      <w:autoSpaceDN w:val="0"/>
      <w:bidi/>
      <w:adjustRightInd w:val="0"/>
      <w:jc w:val="center"/>
      <w:outlineLvl w:val="4"/>
    </w:pPr>
    <w:rPr>
      <w:rFonts w:ascii="Arial" w:hAnsi="Arial" w:cs="Guttman Yad-Brush"/>
      <w:b/>
      <w:bCs/>
      <w:color w:val="000000"/>
      <w:sz w:val="28"/>
      <w:szCs w:val="28"/>
      <w:u w:val="single"/>
    </w:rPr>
  </w:style>
  <w:style w:type="paragraph" w:styleId="7">
    <w:name w:val="heading 7"/>
    <w:basedOn w:val="a"/>
    <w:next w:val="a"/>
    <w:link w:val="70"/>
    <w:qFormat/>
    <w:rsid w:val="00555597"/>
    <w:pPr>
      <w:keepNext/>
      <w:jc w:val="center"/>
      <w:outlineLvl w:val="6"/>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555597"/>
    <w:rPr>
      <w:rFonts w:ascii="Comic Sans MS" w:eastAsia="Times New Roman" w:hAnsi="Comic Sans MS" w:cs="FrankRuehl"/>
      <w:b/>
      <w:bCs/>
      <w:sz w:val="44"/>
      <w:szCs w:val="44"/>
    </w:rPr>
  </w:style>
  <w:style w:type="character" w:customStyle="1" w:styleId="20">
    <w:name w:val="כותרת 2 תו"/>
    <w:aliases w:val="כותרת 2 תו תו תו"/>
    <w:basedOn w:val="a0"/>
    <w:link w:val="2"/>
    <w:rsid w:val="00555597"/>
    <w:rPr>
      <w:rFonts w:ascii="Times New Roman" w:eastAsia="Times New Roman" w:hAnsi="Times New Roman" w:cs="David"/>
      <w:b/>
      <w:bCs/>
      <w:sz w:val="24"/>
      <w:szCs w:val="28"/>
    </w:rPr>
  </w:style>
  <w:style w:type="character" w:customStyle="1" w:styleId="40">
    <w:name w:val="כותרת 4 תו"/>
    <w:basedOn w:val="a0"/>
    <w:link w:val="4"/>
    <w:rsid w:val="00555597"/>
    <w:rPr>
      <w:rFonts w:ascii="Arial" w:eastAsia="Times New Roman" w:hAnsi="Arial" w:cs="David"/>
      <w:b/>
      <w:bCs/>
      <w:color w:val="FF0000"/>
      <w:sz w:val="28"/>
      <w:szCs w:val="28"/>
    </w:rPr>
  </w:style>
  <w:style w:type="character" w:customStyle="1" w:styleId="50">
    <w:name w:val="כותרת 5 תו"/>
    <w:basedOn w:val="a0"/>
    <w:link w:val="5"/>
    <w:rsid w:val="00555597"/>
    <w:rPr>
      <w:rFonts w:ascii="Arial" w:eastAsia="Times New Roman" w:hAnsi="Arial" w:cs="Guttman Yad-Brush"/>
      <w:b/>
      <w:bCs/>
      <w:color w:val="000000"/>
      <w:sz w:val="28"/>
      <w:szCs w:val="28"/>
      <w:u w:val="single"/>
    </w:rPr>
  </w:style>
  <w:style w:type="character" w:customStyle="1" w:styleId="70">
    <w:name w:val="כותרת 7 תו"/>
    <w:basedOn w:val="a0"/>
    <w:link w:val="7"/>
    <w:rsid w:val="00555597"/>
    <w:rPr>
      <w:rFonts w:ascii="Comic Sans MS" w:eastAsia="Times New Roman" w:hAnsi="Comic Sans MS" w:cs="David"/>
      <w:b/>
      <w:bCs/>
      <w:sz w:val="32"/>
      <w:szCs w:val="32"/>
    </w:rPr>
  </w:style>
  <w:style w:type="paragraph" w:styleId="a3">
    <w:name w:val="header"/>
    <w:basedOn w:val="a"/>
    <w:link w:val="a4"/>
    <w:rsid w:val="00555597"/>
    <w:pPr>
      <w:tabs>
        <w:tab w:val="center" w:pos="4153"/>
        <w:tab w:val="right" w:pos="8306"/>
      </w:tabs>
    </w:pPr>
    <w:rPr>
      <w:rFonts w:ascii="Times New Roman" w:hAnsi="Times New Roman"/>
    </w:rPr>
  </w:style>
  <w:style w:type="character" w:customStyle="1" w:styleId="a4">
    <w:name w:val="כותרת עליונה תו"/>
    <w:basedOn w:val="a0"/>
    <w:link w:val="a3"/>
    <w:rsid w:val="00555597"/>
    <w:rPr>
      <w:rFonts w:ascii="Times New Roman" w:eastAsia="Times New Roman" w:hAnsi="Times New Roman" w:cs="David"/>
      <w:sz w:val="24"/>
      <w:szCs w:val="24"/>
    </w:rPr>
  </w:style>
  <w:style w:type="paragraph" w:styleId="a5">
    <w:name w:val="footer"/>
    <w:basedOn w:val="a"/>
    <w:link w:val="a6"/>
    <w:rsid w:val="00555597"/>
    <w:pPr>
      <w:tabs>
        <w:tab w:val="center" w:pos="4153"/>
        <w:tab w:val="right" w:pos="8306"/>
      </w:tabs>
    </w:pPr>
  </w:style>
  <w:style w:type="character" w:customStyle="1" w:styleId="a6">
    <w:name w:val="כותרת תחתונה תו"/>
    <w:basedOn w:val="a0"/>
    <w:link w:val="a5"/>
    <w:rsid w:val="00555597"/>
    <w:rPr>
      <w:rFonts w:ascii="Comic Sans MS" w:eastAsia="Times New Roman" w:hAnsi="Comic Sans MS" w:cs="David"/>
      <w:sz w:val="24"/>
      <w:szCs w:val="24"/>
    </w:rPr>
  </w:style>
  <w:style w:type="paragraph" w:styleId="a7">
    <w:name w:val="Title"/>
    <w:basedOn w:val="a"/>
    <w:link w:val="a8"/>
    <w:qFormat/>
    <w:rsid w:val="00555597"/>
    <w:pPr>
      <w:bidi/>
      <w:jc w:val="center"/>
    </w:pPr>
    <w:rPr>
      <w:rFonts w:cs="Times New Roman"/>
      <w:b/>
      <w:bCs/>
      <w:sz w:val="32"/>
      <w:szCs w:val="32"/>
      <w:u w:val="single"/>
      <w:lang w:val="x-none" w:eastAsia="x-none"/>
    </w:rPr>
  </w:style>
  <w:style w:type="character" w:customStyle="1" w:styleId="a8">
    <w:name w:val="כותרת טקסט תו"/>
    <w:basedOn w:val="a0"/>
    <w:link w:val="a7"/>
    <w:rsid w:val="00555597"/>
    <w:rPr>
      <w:rFonts w:ascii="Comic Sans MS" w:eastAsia="Times New Roman" w:hAnsi="Comic Sans MS" w:cs="Times New Roman"/>
      <w:b/>
      <w:bCs/>
      <w:sz w:val="32"/>
      <w:szCs w:val="32"/>
      <w:u w:val="single"/>
      <w:lang w:val="x-none" w:eastAsia="x-none"/>
    </w:rPr>
  </w:style>
  <w:style w:type="paragraph" w:styleId="3">
    <w:name w:val="Body Text 3"/>
    <w:basedOn w:val="a"/>
    <w:link w:val="30"/>
    <w:rsid w:val="00555597"/>
    <w:pPr>
      <w:bidi/>
      <w:spacing w:line="360" w:lineRule="auto"/>
      <w:jc w:val="both"/>
    </w:pPr>
    <w:rPr>
      <w:rFonts w:ascii="Times New Roman" w:hAnsi="Times New Roman"/>
    </w:rPr>
  </w:style>
  <w:style w:type="character" w:customStyle="1" w:styleId="30">
    <w:name w:val="גוף טקסט 3 תו"/>
    <w:basedOn w:val="a0"/>
    <w:link w:val="3"/>
    <w:rsid w:val="00555597"/>
    <w:rPr>
      <w:rFonts w:ascii="Times New Roman" w:eastAsia="Times New Roman" w:hAnsi="Times New Roman" w:cs="David"/>
      <w:sz w:val="24"/>
      <w:szCs w:val="24"/>
    </w:rPr>
  </w:style>
  <w:style w:type="character" w:styleId="a9">
    <w:name w:val="page number"/>
    <w:basedOn w:val="a0"/>
    <w:rsid w:val="00555597"/>
  </w:style>
  <w:style w:type="paragraph" w:styleId="aa">
    <w:name w:val="Body Text"/>
    <w:basedOn w:val="a"/>
    <w:link w:val="ab"/>
    <w:rsid w:val="00555597"/>
    <w:pPr>
      <w:jc w:val="right"/>
    </w:pPr>
  </w:style>
  <w:style w:type="character" w:customStyle="1" w:styleId="ab">
    <w:name w:val="גוף טקסט תו"/>
    <w:basedOn w:val="a0"/>
    <w:link w:val="aa"/>
    <w:rsid w:val="00555597"/>
    <w:rPr>
      <w:rFonts w:ascii="Comic Sans MS" w:eastAsia="Times New Roman" w:hAnsi="Comic Sans MS" w:cs="David"/>
      <w:sz w:val="24"/>
      <w:szCs w:val="24"/>
    </w:rPr>
  </w:style>
  <w:style w:type="character" w:styleId="Hyperlink">
    <w:name w:val="Hyperlink"/>
    <w:rsid w:val="00555597"/>
    <w:rPr>
      <w:color w:val="0000FF"/>
      <w:u w:val="single"/>
    </w:rPr>
  </w:style>
  <w:style w:type="character" w:customStyle="1" w:styleId="mcetmplelm">
    <w:name w:val="mcetmplelm"/>
    <w:basedOn w:val="a0"/>
    <w:rsid w:val="00555597"/>
  </w:style>
  <w:style w:type="character" w:customStyle="1" w:styleId="EmailStyle33">
    <w:name w:val="EmailStyle33"/>
    <w:semiHidden/>
    <w:rsid w:val="00555597"/>
    <w:rPr>
      <w:rFonts w:ascii="David" w:cs="David"/>
      <w:b w:val="0"/>
      <w:bCs w:val="0"/>
      <w:i w:val="0"/>
      <w:iCs w:val="0"/>
      <w:strike w:val="0"/>
      <w:color w:val="auto"/>
      <w:sz w:val="28"/>
      <w:szCs w:val="28"/>
      <w:u w:val="none"/>
    </w:rPr>
  </w:style>
  <w:style w:type="paragraph" w:customStyle="1" w:styleId="Hesber">
    <w:name w:val="Hesber"/>
    <w:basedOn w:val="a"/>
    <w:rsid w:val="00555597"/>
    <w:pPr>
      <w:widowControl w:val="0"/>
      <w:autoSpaceDE w:val="0"/>
      <w:autoSpaceDN w:val="0"/>
      <w:bidi/>
      <w:adjustRightInd w:val="0"/>
      <w:snapToGrid w:val="0"/>
      <w:spacing w:line="360" w:lineRule="auto"/>
      <w:ind w:firstLine="340"/>
      <w:jc w:val="both"/>
      <w:textAlignment w:val="center"/>
    </w:pPr>
    <w:rPr>
      <w:rFonts w:ascii="Arial" w:eastAsia="Arial Unicode MS" w:hAnsi="Arial" w:cs="Arial Unicode MS"/>
      <w:color w:val="000000"/>
      <w:sz w:val="20"/>
      <w:szCs w:val="26"/>
      <w:lang w:eastAsia="ja-JP"/>
    </w:rPr>
  </w:style>
  <w:style w:type="paragraph" w:styleId="ac">
    <w:name w:val="Balloon Text"/>
    <w:basedOn w:val="a"/>
    <w:link w:val="ad"/>
    <w:uiPriority w:val="99"/>
    <w:semiHidden/>
    <w:unhideWhenUsed/>
    <w:rsid w:val="00555597"/>
    <w:rPr>
      <w:rFonts w:ascii="Tahoma" w:hAnsi="Tahoma" w:cs="Tahoma"/>
      <w:sz w:val="16"/>
      <w:szCs w:val="16"/>
    </w:rPr>
  </w:style>
  <w:style w:type="character" w:customStyle="1" w:styleId="ad">
    <w:name w:val="טקסט בלונים תו"/>
    <w:basedOn w:val="a0"/>
    <w:link w:val="ac"/>
    <w:uiPriority w:val="99"/>
    <w:semiHidden/>
    <w:rsid w:val="00555597"/>
    <w:rPr>
      <w:rFonts w:ascii="Tahoma" w:eastAsia="Times New Roman" w:hAnsi="Tahoma" w:cs="Tahoma"/>
      <w:sz w:val="16"/>
      <w:szCs w:val="16"/>
    </w:rPr>
  </w:style>
  <w:style w:type="paragraph" w:styleId="ae">
    <w:name w:val="List Paragraph"/>
    <w:basedOn w:val="a"/>
    <w:uiPriority w:val="34"/>
    <w:qFormat/>
    <w:rsid w:val="00973976"/>
    <w:pPr>
      <w:ind w:left="720"/>
      <w:contextualSpacing/>
    </w:pPr>
  </w:style>
  <w:style w:type="paragraph" w:styleId="NormalWeb">
    <w:name w:val="Normal (Web)"/>
    <w:basedOn w:val="a"/>
    <w:uiPriority w:val="99"/>
    <w:unhideWhenUsed/>
    <w:rsid w:val="00993C0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7715">
      <w:bodyDiv w:val="1"/>
      <w:marLeft w:val="0"/>
      <w:marRight w:val="0"/>
      <w:marTop w:val="0"/>
      <w:marBottom w:val="0"/>
      <w:divBdr>
        <w:top w:val="none" w:sz="0" w:space="0" w:color="auto"/>
        <w:left w:val="none" w:sz="0" w:space="0" w:color="auto"/>
        <w:bottom w:val="none" w:sz="0" w:space="0" w:color="auto"/>
        <w:right w:val="none" w:sz="0" w:space="0" w:color="auto"/>
      </w:divBdr>
    </w:div>
    <w:div w:id="9019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x@nomas.co.il" TargetMode="External"/><Relationship Id="rId13" Type="http://schemas.openxmlformats.org/officeDocument/2006/relationships/hyperlink" Target="http://www.ralc.co.i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4968</Words>
  <Characters>24845</Characters>
  <Application>Microsoft Office Word</Application>
  <DocSecurity>0</DocSecurity>
  <Lines>207</Lines>
  <Paragraphs>59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Limor Brauman</dc:creator>
  <cp:lastModifiedBy>_Mor</cp:lastModifiedBy>
  <cp:revision>4</cp:revision>
  <cp:lastPrinted>2013-10-28T17:48:00Z</cp:lastPrinted>
  <dcterms:created xsi:type="dcterms:W3CDTF">2013-10-29T05:50:00Z</dcterms:created>
  <dcterms:modified xsi:type="dcterms:W3CDTF">2013-11-27T06:04:00Z</dcterms:modified>
</cp:coreProperties>
</file>